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A11E" w14:textId="77777777" w:rsidR="009A49B3" w:rsidRPr="001A1768" w:rsidRDefault="00474236" w:rsidP="001C27E0">
      <w:pPr>
        <w:pStyle w:val="Title"/>
        <w:jc w:val="center"/>
      </w:pPr>
      <w:r w:rsidRPr="001A1768">
        <w:t>Single and Multi-Agency Assessment Tools Used in Moray</w:t>
      </w:r>
    </w:p>
    <w:p w14:paraId="7E2EB5E4" w14:textId="77777777" w:rsidR="009A49B3" w:rsidRDefault="009A49B3" w:rsidP="001A1768">
      <w:pPr>
        <w:jc w:val="left"/>
        <w:rPr>
          <w:rFonts w:ascii="Aptos" w:hAnsi="Aptos"/>
          <w:sz w:val="24"/>
          <w:szCs w:val="24"/>
        </w:rPr>
      </w:pPr>
    </w:p>
    <w:p w14:paraId="6104E7CC" w14:textId="77777777" w:rsidR="001C27E0" w:rsidRDefault="001C27E0" w:rsidP="001A1768">
      <w:pPr>
        <w:jc w:val="left"/>
        <w:rPr>
          <w:rFonts w:ascii="Aptos" w:hAnsi="Aptos"/>
          <w:sz w:val="24"/>
          <w:szCs w:val="24"/>
        </w:rPr>
      </w:pPr>
    </w:p>
    <w:p w14:paraId="143D5800" w14:textId="77777777" w:rsidR="001C27E0" w:rsidRDefault="001C27E0" w:rsidP="001C27E0">
      <w:pPr>
        <w:jc w:val="center"/>
      </w:pPr>
      <w:r>
        <w:rPr>
          <w:noProof/>
          <w:lang w:eastAsia="en-GB"/>
        </w:rPr>
        <w:drawing>
          <wp:inline distT="0" distB="0" distL="0" distR="0" wp14:anchorId="1C83FCB1" wp14:editId="0E81DEA8">
            <wp:extent cx="2472563" cy="1013444"/>
            <wp:effectExtent l="0" t="0" r="4445" b="0"/>
            <wp:docPr id="1501950730" name="Picture 1" descr="A logo with text and a blue and purpl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0730" name="Picture 1" descr="A logo with text and a blue and purple circ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24366" cy="1034677"/>
                    </a:xfrm>
                    <a:prstGeom prst="rect">
                      <a:avLst/>
                    </a:prstGeom>
                  </pic:spPr>
                </pic:pic>
              </a:graphicData>
            </a:graphic>
          </wp:inline>
        </w:drawing>
      </w:r>
    </w:p>
    <w:p w14:paraId="1065B824" w14:textId="77777777" w:rsidR="001C27E0" w:rsidRDefault="001C27E0" w:rsidP="001C27E0">
      <w:pPr>
        <w:jc w:val="center"/>
      </w:pPr>
    </w:p>
    <w:p w14:paraId="29560323" w14:textId="77777777" w:rsidR="001C27E0" w:rsidRDefault="001C27E0" w:rsidP="001C27E0">
      <w:pPr>
        <w:jc w:val="center"/>
      </w:pPr>
    </w:p>
    <w:p w14:paraId="63C3292F" w14:textId="77777777" w:rsidR="001C27E0" w:rsidRDefault="001C27E0" w:rsidP="001C27E0">
      <w:pPr>
        <w:jc w:val="center"/>
      </w:pPr>
    </w:p>
    <w:p w14:paraId="510FD740" w14:textId="77777777" w:rsidR="001C27E0" w:rsidRDefault="001C27E0" w:rsidP="001C27E0">
      <w:pPr>
        <w:jc w:val="center"/>
      </w:pPr>
    </w:p>
    <w:p w14:paraId="67C190A8" w14:textId="77777777" w:rsidR="001C27E0" w:rsidRDefault="001C27E0" w:rsidP="001C27E0">
      <w:pPr>
        <w:jc w:val="center"/>
      </w:pPr>
      <w:r>
        <w:rPr>
          <w:rFonts w:ascii="Arial" w:hAnsi="Arial" w:cs="Arial"/>
          <w:noProof/>
          <w:color w:val="0000FF"/>
          <w:lang w:eastAsia="en-GB"/>
        </w:rPr>
        <w:drawing>
          <wp:inline distT="0" distB="0" distL="0" distR="0" wp14:anchorId="27478A08" wp14:editId="00439AFC">
            <wp:extent cx="899821" cy="755650"/>
            <wp:effectExtent l="0" t="0" r="0" b="6350"/>
            <wp:docPr id="1855989708" name="Picture 1" descr="A group of people under an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89708" name="Picture 1" descr="A group of people under an umbrella&#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3125" cy="783618"/>
                    </a:xfrm>
                    <a:prstGeom prst="rect">
                      <a:avLst/>
                    </a:prstGeom>
                  </pic:spPr>
                </pic:pic>
              </a:graphicData>
            </a:graphic>
          </wp:inline>
        </w:drawing>
      </w:r>
      <w:r>
        <w:rPr>
          <w:rFonts w:ascii="Arial" w:hAnsi="Arial" w:cs="Arial"/>
          <w:noProof/>
          <w:color w:val="0000FF"/>
          <w:lang w:eastAsia="en-GB"/>
        </w:rPr>
        <w:drawing>
          <wp:inline distT="0" distB="0" distL="0" distR="0" wp14:anchorId="1F3693CF" wp14:editId="0BD125AC">
            <wp:extent cx="595068" cy="744341"/>
            <wp:effectExtent l="0" t="0" r="0" b="0"/>
            <wp:docPr id="2000360401" name="Picture 2" descr="A circle with tex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60401" name="Picture 2" descr="A circle with text in it&#10;&#10;Description automatically generated"/>
                    <pic:cNvPicPr/>
                  </pic:nvPicPr>
                  <pic:blipFill rotWithShape="1">
                    <a:blip r:embed="rId10" cstate="print">
                      <a:extLst>
                        <a:ext uri="{28A0092B-C50C-407E-A947-70E740481C1C}">
                          <a14:useLocalDpi xmlns:a14="http://schemas.microsoft.com/office/drawing/2010/main" val="0"/>
                        </a:ext>
                      </a:extLst>
                    </a:blip>
                    <a:srcRect l="2629" t="6556"/>
                    <a:stretch/>
                  </pic:blipFill>
                  <pic:spPr bwMode="auto">
                    <a:xfrm>
                      <a:off x="0" y="0"/>
                      <a:ext cx="608024" cy="76054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FF"/>
          <w:lang w:eastAsia="en-GB"/>
        </w:rPr>
        <w:drawing>
          <wp:inline distT="0" distB="0" distL="0" distR="0" wp14:anchorId="719EF72C" wp14:editId="7A7D3BF5">
            <wp:extent cx="748665" cy="748665"/>
            <wp:effectExtent l="0" t="0" r="0" b="0"/>
            <wp:docPr id="45223423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34232" name="Picture 3"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8751" cy="748751"/>
                    </a:xfrm>
                    <a:prstGeom prst="rect">
                      <a:avLst/>
                    </a:prstGeom>
                  </pic:spPr>
                </pic:pic>
              </a:graphicData>
            </a:graphic>
          </wp:inline>
        </w:drawing>
      </w:r>
      <w:r>
        <w:rPr>
          <w:rFonts w:ascii="Arial" w:hAnsi="Arial" w:cs="Arial"/>
          <w:noProof/>
          <w:color w:val="0000FF"/>
          <w:lang w:eastAsia="en-GB"/>
        </w:rPr>
        <w:drawing>
          <wp:inline distT="0" distB="0" distL="0" distR="0" wp14:anchorId="31721247" wp14:editId="0033F368">
            <wp:extent cx="677255" cy="704619"/>
            <wp:effectExtent l="0" t="0" r="8890" b="635"/>
            <wp:docPr id="518744686" name="Picture 4" descr="A logo with triangles i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4686" name="Picture 4" descr="A logo with triangles in a purple background&#10;&#10;Description automatically generated"/>
                    <pic:cNvPicPr/>
                  </pic:nvPicPr>
                  <pic:blipFill rotWithShape="1">
                    <a:blip r:embed="rId12">
                      <a:extLst>
                        <a:ext uri="{28A0092B-C50C-407E-A947-70E740481C1C}">
                          <a14:useLocalDpi xmlns:a14="http://schemas.microsoft.com/office/drawing/2010/main" val="0"/>
                        </a:ext>
                      </a:extLst>
                    </a:blip>
                    <a:srcRect l="15254" t="14971" r="14481" b="14909"/>
                    <a:stretch/>
                  </pic:blipFill>
                  <pic:spPr bwMode="auto">
                    <a:xfrm>
                      <a:off x="0" y="0"/>
                      <a:ext cx="690457" cy="71835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color w:val="0000FF"/>
          <w:lang w:eastAsia="en-GB"/>
        </w:rPr>
        <w:drawing>
          <wp:inline distT="0" distB="0" distL="0" distR="0" wp14:anchorId="640D8671" wp14:editId="3BB3EACD">
            <wp:extent cx="924831" cy="696595"/>
            <wp:effectExtent l="0" t="0" r="8890" b="8255"/>
            <wp:docPr id="83743347"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3347" name="Picture 5" descr="A blue and white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1461" cy="716653"/>
                    </a:xfrm>
                    <a:prstGeom prst="rect">
                      <a:avLst/>
                    </a:prstGeom>
                  </pic:spPr>
                </pic:pic>
              </a:graphicData>
            </a:graphic>
          </wp:inline>
        </w:drawing>
      </w:r>
      <w:r>
        <w:rPr>
          <w:rFonts w:ascii="Arial" w:hAnsi="Arial" w:cs="Arial"/>
          <w:noProof/>
          <w:color w:val="0000FF"/>
          <w:lang w:eastAsia="en-GB"/>
        </w:rPr>
        <w:drawing>
          <wp:inline distT="0" distB="0" distL="0" distR="0" wp14:anchorId="65316967" wp14:editId="33A579A6">
            <wp:extent cx="1281934" cy="666533"/>
            <wp:effectExtent l="0" t="0" r="0" b="635"/>
            <wp:docPr id="857005468"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05468" name="Picture 6" descr="A blue and whit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5416" cy="694340"/>
                    </a:xfrm>
                    <a:prstGeom prst="rect">
                      <a:avLst/>
                    </a:prstGeom>
                  </pic:spPr>
                </pic:pic>
              </a:graphicData>
            </a:graphic>
          </wp:inline>
        </w:drawing>
      </w:r>
    </w:p>
    <w:p w14:paraId="07D77824" w14:textId="77777777" w:rsidR="001C27E0" w:rsidRDefault="001C27E0" w:rsidP="001A1768">
      <w:pPr>
        <w:jc w:val="left"/>
        <w:rPr>
          <w:rFonts w:ascii="Aptos" w:hAnsi="Aptos"/>
          <w:sz w:val="24"/>
          <w:szCs w:val="24"/>
        </w:rPr>
      </w:pPr>
    </w:p>
    <w:tbl>
      <w:tblPr>
        <w:tblStyle w:val="TableGrid1"/>
        <w:tblpPr w:leftFromText="180" w:rightFromText="180" w:vertAnchor="text" w:horzAnchor="margin" w:tblpXSpec="center" w:tblpY="102"/>
        <w:tblW w:w="8359" w:type="dxa"/>
        <w:tblLook w:val="04A0" w:firstRow="1" w:lastRow="0" w:firstColumn="1" w:lastColumn="0" w:noHBand="0" w:noVBand="1"/>
      </w:tblPr>
      <w:tblGrid>
        <w:gridCol w:w="2521"/>
        <w:gridCol w:w="3995"/>
        <w:gridCol w:w="1843"/>
      </w:tblGrid>
      <w:tr w:rsidR="001C27E0" w:rsidRPr="0007530E" w14:paraId="7F68400E" w14:textId="77777777" w:rsidTr="00075C11">
        <w:trPr>
          <w:trHeight w:val="253"/>
        </w:trPr>
        <w:tc>
          <w:tcPr>
            <w:tcW w:w="2521" w:type="dxa"/>
            <w:shd w:val="clear" w:color="auto" w:fill="F2F2F2" w:themeFill="background1" w:themeFillShade="F2"/>
            <w:vAlign w:val="center"/>
          </w:tcPr>
          <w:p w14:paraId="7028C143"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Version Number:</w:t>
            </w:r>
          </w:p>
        </w:tc>
        <w:tc>
          <w:tcPr>
            <w:tcW w:w="5838" w:type="dxa"/>
            <w:gridSpan w:val="2"/>
            <w:vAlign w:val="center"/>
          </w:tcPr>
          <w:p w14:paraId="668B0C6B" w14:textId="77777777" w:rsidR="001C27E0" w:rsidRPr="0007530E" w:rsidRDefault="001C27E0" w:rsidP="00075C11">
            <w:pPr>
              <w:pStyle w:val="NoSpacing"/>
              <w:jc w:val="both"/>
              <w:rPr>
                <w:rFonts w:asciiTheme="minorHAnsi" w:hAnsiTheme="minorHAnsi" w:cstheme="minorHAnsi"/>
                <w:sz w:val="24"/>
                <w:szCs w:val="24"/>
              </w:rPr>
            </w:pPr>
            <w:r>
              <w:rPr>
                <w:rFonts w:asciiTheme="minorHAnsi" w:hAnsiTheme="minorHAnsi" w:cstheme="minorHAnsi"/>
                <w:sz w:val="24"/>
                <w:szCs w:val="24"/>
              </w:rPr>
              <w:t>V1</w:t>
            </w:r>
          </w:p>
        </w:tc>
      </w:tr>
      <w:tr w:rsidR="001C27E0" w:rsidRPr="0007530E" w14:paraId="4EB9E013" w14:textId="77777777" w:rsidTr="00075C11">
        <w:trPr>
          <w:trHeight w:val="253"/>
        </w:trPr>
        <w:tc>
          <w:tcPr>
            <w:tcW w:w="2521" w:type="dxa"/>
            <w:shd w:val="clear" w:color="auto" w:fill="F2F2F2" w:themeFill="background1" w:themeFillShade="F2"/>
            <w:vAlign w:val="center"/>
          </w:tcPr>
          <w:p w14:paraId="5D6E5B76"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Approved by:</w:t>
            </w:r>
          </w:p>
        </w:tc>
        <w:tc>
          <w:tcPr>
            <w:tcW w:w="3995" w:type="dxa"/>
            <w:vAlign w:val="center"/>
          </w:tcPr>
          <w:p w14:paraId="6DB799CD" w14:textId="77777777" w:rsidR="001C27E0" w:rsidRPr="001C27E0" w:rsidRDefault="001C27E0" w:rsidP="00075C11">
            <w:pPr>
              <w:pStyle w:val="NoSpacing"/>
              <w:jc w:val="both"/>
              <w:rPr>
                <w:rFonts w:asciiTheme="minorHAnsi" w:hAnsiTheme="minorHAnsi" w:cstheme="minorHAnsi"/>
                <w:sz w:val="24"/>
                <w:szCs w:val="24"/>
              </w:rPr>
            </w:pPr>
            <w:r w:rsidRPr="001C27E0">
              <w:rPr>
                <w:rFonts w:asciiTheme="minorHAnsi" w:hAnsiTheme="minorHAnsi" w:cstheme="minorHAnsi"/>
                <w:sz w:val="24"/>
                <w:szCs w:val="24"/>
              </w:rPr>
              <w:t>Child Protection Committee</w:t>
            </w:r>
          </w:p>
        </w:tc>
        <w:tc>
          <w:tcPr>
            <w:tcW w:w="1843" w:type="dxa"/>
            <w:vAlign w:val="center"/>
          </w:tcPr>
          <w:p w14:paraId="379448CE" w14:textId="521CF370" w:rsidR="001C27E0" w:rsidRPr="0007530E" w:rsidRDefault="00077945" w:rsidP="00075C11">
            <w:pPr>
              <w:pStyle w:val="NoSpacing"/>
              <w:jc w:val="both"/>
              <w:rPr>
                <w:rFonts w:asciiTheme="minorHAnsi" w:hAnsiTheme="minorHAnsi" w:cstheme="minorHAnsi"/>
                <w:sz w:val="24"/>
                <w:szCs w:val="24"/>
              </w:rPr>
            </w:pPr>
            <w:r>
              <w:rPr>
                <w:rFonts w:asciiTheme="minorHAnsi" w:hAnsiTheme="minorHAnsi" w:cstheme="minorHAnsi"/>
                <w:sz w:val="24"/>
                <w:szCs w:val="24"/>
              </w:rPr>
              <w:t>17</w:t>
            </w:r>
            <w:r w:rsidRPr="00077945">
              <w:rPr>
                <w:rFonts w:asciiTheme="minorHAnsi" w:hAnsiTheme="minorHAnsi" w:cstheme="minorHAnsi"/>
                <w:sz w:val="24"/>
                <w:szCs w:val="24"/>
                <w:vertAlign w:val="superscript"/>
              </w:rPr>
              <w:t>th</w:t>
            </w:r>
            <w:r>
              <w:rPr>
                <w:rFonts w:asciiTheme="minorHAnsi" w:hAnsiTheme="minorHAnsi" w:cstheme="minorHAnsi"/>
                <w:sz w:val="24"/>
                <w:szCs w:val="24"/>
              </w:rPr>
              <w:t xml:space="preserve"> Feb 2026</w:t>
            </w:r>
          </w:p>
        </w:tc>
      </w:tr>
      <w:tr w:rsidR="001C27E0" w:rsidRPr="0007530E" w14:paraId="478A455B" w14:textId="77777777" w:rsidTr="00075C11">
        <w:trPr>
          <w:trHeight w:val="253"/>
        </w:trPr>
        <w:tc>
          <w:tcPr>
            <w:tcW w:w="2521" w:type="dxa"/>
            <w:shd w:val="clear" w:color="auto" w:fill="F2F2F2" w:themeFill="background1" w:themeFillShade="F2"/>
            <w:vAlign w:val="center"/>
          </w:tcPr>
          <w:p w14:paraId="4BD61F8E"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Effective from:</w:t>
            </w:r>
          </w:p>
        </w:tc>
        <w:tc>
          <w:tcPr>
            <w:tcW w:w="5838" w:type="dxa"/>
            <w:gridSpan w:val="2"/>
            <w:vAlign w:val="center"/>
          </w:tcPr>
          <w:p w14:paraId="70855E94" w14:textId="77777777" w:rsidR="001C27E0" w:rsidRPr="001C27E0" w:rsidRDefault="00A177D5" w:rsidP="00075C11">
            <w:pPr>
              <w:pStyle w:val="NoSpacing"/>
              <w:jc w:val="both"/>
              <w:rPr>
                <w:rFonts w:asciiTheme="minorHAnsi" w:hAnsiTheme="minorHAnsi" w:cstheme="minorHAnsi"/>
                <w:sz w:val="24"/>
                <w:szCs w:val="24"/>
              </w:rPr>
            </w:pPr>
            <w:r>
              <w:rPr>
                <w:rFonts w:asciiTheme="minorHAnsi" w:hAnsiTheme="minorHAnsi" w:cstheme="minorHAnsi"/>
                <w:sz w:val="24"/>
                <w:szCs w:val="24"/>
              </w:rPr>
              <w:t>March</w:t>
            </w:r>
            <w:r w:rsidR="001C27E0" w:rsidRPr="001C27E0">
              <w:rPr>
                <w:rFonts w:asciiTheme="minorHAnsi" w:hAnsiTheme="minorHAnsi" w:cstheme="minorHAnsi"/>
                <w:sz w:val="24"/>
                <w:szCs w:val="24"/>
              </w:rPr>
              <w:t xml:space="preserve"> 202</w:t>
            </w:r>
            <w:r w:rsidR="001C27E0">
              <w:rPr>
                <w:rFonts w:asciiTheme="minorHAnsi" w:hAnsiTheme="minorHAnsi" w:cstheme="minorHAnsi"/>
                <w:sz w:val="24"/>
                <w:szCs w:val="24"/>
              </w:rPr>
              <w:t>6</w:t>
            </w:r>
          </w:p>
        </w:tc>
      </w:tr>
      <w:tr w:rsidR="001C27E0" w:rsidRPr="0007530E" w14:paraId="1FC187E8" w14:textId="77777777" w:rsidTr="00075C11">
        <w:trPr>
          <w:trHeight w:val="253"/>
        </w:trPr>
        <w:tc>
          <w:tcPr>
            <w:tcW w:w="2521" w:type="dxa"/>
            <w:shd w:val="clear" w:color="auto" w:fill="F2F2F2" w:themeFill="background1" w:themeFillShade="F2"/>
            <w:vAlign w:val="center"/>
          </w:tcPr>
          <w:p w14:paraId="1E939BFD"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Date for Review:</w:t>
            </w:r>
          </w:p>
        </w:tc>
        <w:tc>
          <w:tcPr>
            <w:tcW w:w="5838" w:type="dxa"/>
            <w:gridSpan w:val="2"/>
            <w:vAlign w:val="center"/>
          </w:tcPr>
          <w:p w14:paraId="1FD3E9EA" w14:textId="77777777" w:rsidR="001C27E0" w:rsidRPr="001C27E0" w:rsidRDefault="00A177D5" w:rsidP="00075C11">
            <w:pPr>
              <w:pStyle w:val="NoSpacing"/>
              <w:jc w:val="both"/>
              <w:rPr>
                <w:rFonts w:asciiTheme="minorHAnsi" w:hAnsiTheme="minorHAnsi" w:cstheme="minorHAnsi"/>
                <w:sz w:val="24"/>
                <w:szCs w:val="24"/>
              </w:rPr>
            </w:pPr>
            <w:r>
              <w:rPr>
                <w:rFonts w:asciiTheme="minorHAnsi" w:hAnsiTheme="minorHAnsi" w:cstheme="minorHAnsi"/>
                <w:sz w:val="24"/>
                <w:szCs w:val="24"/>
              </w:rPr>
              <w:t xml:space="preserve">March </w:t>
            </w:r>
            <w:r w:rsidR="001C27E0">
              <w:rPr>
                <w:rFonts w:asciiTheme="minorHAnsi" w:hAnsiTheme="minorHAnsi" w:cstheme="minorHAnsi"/>
                <w:sz w:val="24"/>
                <w:szCs w:val="24"/>
              </w:rPr>
              <w:t>202</w:t>
            </w:r>
            <w:r>
              <w:rPr>
                <w:rFonts w:asciiTheme="minorHAnsi" w:hAnsiTheme="minorHAnsi" w:cstheme="minorHAnsi"/>
                <w:sz w:val="24"/>
                <w:szCs w:val="24"/>
              </w:rPr>
              <w:t>7</w:t>
            </w:r>
          </w:p>
        </w:tc>
      </w:tr>
      <w:tr w:rsidR="001C27E0" w:rsidRPr="0007530E" w14:paraId="0B985D59" w14:textId="77777777" w:rsidTr="00075C11">
        <w:trPr>
          <w:trHeight w:val="253"/>
        </w:trPr>
        <w:tc>
          <w:tcPr>
            <w:tcW w:w="2521" w:type="dxa"/>
            <w:shd w:val="clear" w:color="auto" w:fill="F2F2F2" w:themeFill="background1" w:themeFillShade="F2"/>
            <w:vAlign w:val="center"/>
          </w:tcPr>
          <w:p w14:paraId="5E879736" w14:textId="77777777" w:rsidR="001C27E0" w:rsidRPr="0007530E" w:rsidRDefault="001C27E0" w:rsidP="00075C11">
            <w:pPr>
              <w:pStyle w:val="NoSpacing"/>
              <w:jc w:val="both"/>
              <w:rPr>
                <w:rFonts w:asciiTheme="minorHAnsi" w:hAnsiTheme="minorHAnsi" w:cstheme="minorHAnsi"/>
                <w:b/>
                <w:sz w:val="24"/>
                <w:szCs w:val="24"/>
              </w:rPr>
            </w:pPr>
            <w:r>
              <w:rPr>
                <w:rFonts w:asciiTheme="minorHAnsi" w:hAnsiTheme="minorHAnsi" w:cstheme="minorHAnsi"/>
                <w:b/>
                <w:sz w:val="24"/>
                <w:szCs w:val="24"/>
              </w:rPr>
              <w:t>Owner</w:t>
            </w:r>
            <w:r w:rsidRPr="0007530E">
              <w:rPr>
                <w:rFonts w:asciiTheme="minorHAnsi" w:hAnsiTheme="minorHAnsi" w:cstheme="minorHAnsi"/>
                <w:b/>
                <w:sz w:val="24"/>
                <w:szCs w:val="24"/>
              </w:rPr>
              <w:t xml:space="preserve">: </w:t>
            </w:r>
          </w:p>
        </w:tc>
        <w:tc>
          <w:tcPr>
            <w:tcW w:w="5838" w:type="dxa"/>
            <w:gridSpan w:val="2"/>
            <w:vAlign w:val="center"/>
          </w:tcPr>
          <w:p w14:paraId="12C0DAD8" w14:textId="77777777" w:rsidR="001C27E0" w:rsidRPr="001C27E0" w:rsidRDefault="00A177D5" w:rsidP="00075C11">
            <w:pPr>
              <w:pStyle w:val="NoSpacing"/>
              <w:jc w:val="both"/>
              <w:rPr>
                <w:rFonts w:asciiTheme="minorHAnsi" w:hAnsiTheme="minorHAnsi" w:cstheme="minorHAnsi"/>
                <w:sz w:val="24"/>
                <w:szCs w:val="24"/>
              </w:rPr>
            </w:pPr>
            <w:r>
              <w:rPr>
                <w:rFonts w:asciiTheme="minorHAnsi" w:hAnsiTheme="minorHAnsi" w:cstheme="minorHAnsi"/>
                <w:sz w:val="24"/>
                <w:szCs w:val="24"/>
              </w:rPr>
              <w:t>Child Protection Implementation Group</w:t>
            </w:r>
          </w:p>
        </w:tc>
      </w:tr>
      <w:tr w:rsidR="001C27E0" w:rsidRPr="0007530E" w14:paraId="4937575C" w14:textId="77777777" w:rsidTr="00075C11">
        <w:trPr>
          <w:trHeight w:val="253"/>
        </w:trPr>
        <w:tc>
          <w:tcPr>
            <w:tcW w:w="2521" w:type="dxa"/>
            <w:shd w:val="clear" w:color="auto" w:fill="F2F2F2" w:themeFill="background1" w:themeFillShade="F2"/>
            <w:vAlign w:val="center"/>
          </w:tcPr>
          <w:p w14:paraId="6F41E0BE" w14:textId="77777777" w:rsidR="001C27E0" w:rsidRPr="0007530E" w:rsidRDefault="001C27E0" w:rsidP="00075C11">
            <w:pPr>
              <w:pStyle w:val="NoSpacing"/>
              <w:jc w:val="both"/>
              <w:rPr>
                <w:rFonts w:asciiTheme="minorHAnsi" w:hAnsiTheme="minorHAnsi" w:cstheme="minorHAnsi"/>
                <w:b/>
                <w:sz w:val="24"/>
                <w:szCs w:val="24"/>
              </w:rPr>
            </w:pPr>
            <w:r>
              <w:rPr>
                <w:rFonts w:asciiTheme="minorHAnsi" w:hAnsiTheme="minorHAnsi" w:cstheme="minorHAnsi"/>
                <w:b/>
                <w:sz w:val="24"/>
                <w:szCs w:val="24"/>
              </w:rPr>
              <w:t>IIA</w:t>
            </w:r>
          </w:p>
        </w:tc>
        <w:tc>
          <w:tcPr>
            <w:tcW w:w="3995" w:type="dxa"/>
            <w:vAlign w:val="center"/>
          </w:tcPr>
          <w:p w14:paraId="4D57C8D1" w14:textId="77777777" w:rsidR="001C27E0" w:rsidRPr="001C27E0" w:rsidRDefault="001C27E0" w:rsidP="00075C11">
            <w:pPr>
              <w:pStyle w:val="NoSpacing"/>
              <w:jc w:val="both"/>
              <w:rPr>
                <w:rFonts w:asciiTheme="minorHAnsi" w:hAnsiTheme="minorHAnsi" w:cstheme="minorHAnsi"/>
                <w:sz w:val="24"/>
                <w:szCs w:val="24"/>
              </w:rPr>
            </w:pPr>
            <w:r w:rsidRPr="001C27E0">
              <w:rPr>
                <w:rFonts w:asciiTheme="minorHAnsi" w:hAnsiTheme="minorHAnsi" w:cstheme="minorHAnsi"/>
                <w:sz w:val="24"/>
                <w:szCs w:val="24"/>
              </w:rPr>
              <w:t xml:space="preserve">Considered </w:t>
            </w:r>
          </w:p>
        </w:tc>
        <w:tc>
          <w:tcPr>
            <w:tcW w:w="1843" w:type="dxa"/>
            <w:vAlign w:val="center"/>
          </w:tcPr>
          <w:p w14:paraId="3BBFD411" w14:textId="77777777" w:rsidR="001C27E0" w:rsidRPr="0007530E" w:rsidRDefault="001C27E0" w:rsidP="00075C11">
            <w:pPr>
              <w:pStyle w:val="NoSpacing"/>
              <w:jc w:val="both"/>
              <w:rPr>
                <w:rFonts w:asciiTheme="minorHAnsi" w:hAnsiTheme="minorHAnsi" w:cstheme="minorHAnsi"/>
                <w:sz w:val="24"/>
                <w:szCs w:val="24"/>
              </w:rPr>
            </w:pPr>
            <w:r>
              <w:rPr>
                <w:rFonts w:asciiTheme="minorHAnsi" w:hAnsiTheme="minorHAnsi" w:cstheme="minorHAnsi"/>
                <w:sz w:val="24"/>
                <w:szCs w:val="24"/>
              </w:rPr>
              <w:t>Dec 2025</w:t>
            </w:r>
          </w:p>
        </w:tc>
      </w:tr>
      <w:tr w:rsidR="001C27E0" w:rsidRPr="0007530E" w14:paraId="6B276B30" w14:textId="77777777" w:rsidTr="00075C11">
        <w:trPr>
          <w:trHeight w:val="127"/>
        </w:trPr>
        <w:tc>
          <w:tcPr>
            <w:tcW w:w="2521" w:type="dxa"/>
            <w:shd w:val="clear" w:color="auto" w:fill="F2F2F2" w:themeFill="background1" w:themeFillShade="F2"/>
          </w:tcPr>
          <w:p w14:paraId="6B1F2D53"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GDPR Compliant</w:t>
            </w:r>
          </w:p>
        </w:tc>
        <w:tc>
          <w:tcPr>
            <w:tcW w:w="5838" w:type="dxa"/>
            <w:gridSpan w:val="2"/>
          </w:tcPr>
          <w:p w14:paraId="261ABF3E" w14:textId="77777777" w:rsidR="001C27E0" w:rsidRPr="001C27E0" w:rsidRDefault="001C27E0" w:rsidP="00075C11">
            <w:pPr>
              <w:pStyle w:val="NoSpacing"/>
              <w:jc w:val="both"/>
              <w:rPr>
                <w:rFonts w:asciiTheme="minorHAnsi" w:hAnsiTheme="minorHAnsi" w:cstheme="minorHAnsi"/>
                <w:sz w:val="24"/>
                <w:szCs w:val="24"/>
              </w:rPr>
            </w:pPr>
            <w:r w:rsidRPr="001C27E0">
              <w:rPr>
                <w:rFonts w:asciiTheme="minorHAnsi" w:hAnsiTheme="minorHAnsi" w:cstheme="minorHAnsi"/>
                <w:b/>
                <w:sz w:val="24"/>
                <w:szCs w:val="24"/>
              </w:rPr>
              <w:t>Yes</w:t>
            </w:r>
          </w:p>
        </w:tc>
      </w:tr>
      <w:tr w:rsidR="001C27E0" w:rsidRPr="0007530E" w14:paraId="654A7BEA" w14:textId="77777777" w:rsidTr="00075C11">
        <w:trPr>
          <w:trHeight w:val="253"/>
        </w:trPr>
        <w:tc>
          <w:tcPr>
            <w:tcW w:w="2521" w:type="dxa"/>
            <w:shd w:val="clear" w:color="auto" w:fill="F2F2F2" w:themeFill="background1" w:themeFillShade="F2"/>
            <w:vAlign w:val="center"/>
          </w:tcPr>
          <w:p w14:paraId="6247FD15"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FOI Compliant</w:t>
            </w:r>
          </w:p>
        </w:tc>
        <w:tc>
          <w:tcPr>
            <w:tcW w:w="5838" w:type="dxa"/>
            <w:gridSpan w:val="2"/>
            <w:vAlign w:val="center"/>
          </w:tcPr>
          <w:p w14:paraId="7EC4F726" w14:textId="77777777" w:rsidR="001C27E0" w:rsidRPr="001C27E0" w:rsidRDefault="001C27E0" w:rsidP="00075C11">
            <w:pPr>
              <w:pStyle w:val="NoSpacing"/>
              <w:jc w:val="both"/>
              <w:rPr>
                <w:rFonts w:asciiTheme="minorHAnsi" w:hAnsiTheme="minorHAnsi" w:cstheme="minorHAnsi"/>
                <w:sz w:val="24"/>
                <w:szCs w:val="24"/>
              </w:rPr>
            </w:pPr>
            <w:r w:rsidRPr="001C27E0">
              <w:rPr>
                <w:rFonts w:asciiTheme="minorHAnsi" w:hAnsiTheme="minorHAnsi" w:cstheme="minorHAnsi"/>
                <w:b/>
                <w:sz w:val="24"/>
                <w:szCs w:val="24"/>
              </w:rPr>
              <w:t>Yes</w:t>
            </w:r>
          </w:p>
        </w:tc>
      </w:tr>
      <w:tr w:rsidR="001C27E0" w:rsidRPr="0007530E" w14:paraId="42D8E5E8" w14:textId="77777777" w:rsidTr="00075C11">
        <w:trPr>
          <w:trHeight w:val="253"/>
        </w:trPr>
        <w:tc>
          <w:tcPr>
            <w:tcW w:w="2521" w:type="dxa"/>
            <w:shd w:val="clear" w:color="auto" w:fill="F2F2F2" w:themeFill="background1" w:themeFillShade="F2"/>
            <w:vAlign w:val="center"/>
          </w:tcPr>
          <w:p w14:paraId="7580BDCF" w14:textId="77777777" w:rsidR="001C27E0" w:rsidRPr="0007530E" w:rsidRDefault="001C27E0" w:rsidP="00075C11">
            <w:pPr>
              <w:pStyle w:val="NoSpacing"/>
              <w:jc w:val="both"/>
              <w:rPr>
                <w:rFonts w:asciiTheme="minorHAnsi" w:hAnsiTheme="minorHAnsi" w:cstheme="minorHAnsi"/>
                <w:b/>
                <w:sz w:val="24"/>
                <w:szCs w:val="24"/>
              </w:rPr>
            </w:pPr>
            <w:r w:rsidRPr="0007530E">
              <w:rPr>
                <w:rFonts w:asciiTheme="minorHAnsi" w:hAnsiTheme="minorHAnsi" w:cstheme="minorHAnsi"/>
                <w:b/>
                <w:sz w:val="24"/>
                <w:szCs w:val="24"/>
              </w:rPr>
              <w:t>Version Number</w:t>
            </w:r>
          </w:p>
        </w:tc>
        <w:tc>
          <w:tcPr>
            <w:tcW w:w="3995" w:type="dxa"/>
            <w:shd w:val="clear" w:color="auto" w:fill="F2F2F2" w:themeFill="background1" w:themeFillShade="F2"/>
            <w:vAlign w:val="center"/>
          </w:tcPr>
          <w:p w14:paraId="66FEAD6D" w14:textId="77777777" w:rsidR="001C27E0" w:rsidRPr="0007530E" w:rsidRDefault="001C27E0" w:rsidP="00075C11">
            <w:pPr>
              <w:pStyle w:val="NoSpacing"/>
              <w:jc w:val="both"/>
              <w:rPr>
                <w:rFonts w:asciiTheme="minorHAnsi" w:hAnsiTheme="minorHAnsi" w:cstheme="minorHAnsi"/>
                <w:sz w:val="24"/>
                <w:szCs w:val="24"/>
              </w:rPr>
            </w:pPr>
            <w:r w:rsidRPr="0007530E">
              <w:rPr>
                <w:rFonts w:asciiTheme="minorHAnsi" w:hAnsiTheme="minorHAnsi" w:cstheme="minorHAnsi"/>
                <w:b/>
                <w:sz w:val="24"/>
                <w:szCs w:val="24"/>
              </w:rPr>
              <w:t>History of Amendments</w:t>
            </w:r>
          </w:p>
        </w:tc>
        <w:tc>
          <w:tcPr>
            <w:tcW w:w="1843" w:type="dxa"/>
            <w:shd w:val="clear" w:color="auto" w:fill="F2F2F2" w:themeFill="background1" w:themeFillShade="F2"/>
            <w:vAlign w:val="center"/>
          </w:tcPr>
          <w:p w14:paraId="535018EC" w14:textId="77777777" w:rsidR="001C27E0" w:rsidRPr="0007530E" w:rsidRDefault="001C27E0" w:rsidP="00075C11">
            <w:pPr>
              <w:pStyle w:val="NoSpacing"/>
              <w:jc w:val="both"/>
              <w:rPr>
                <w:rFonts w:asciiTheme="minorHAnsi" w:hAnsiTheme="minorHAnsi" w:cstheme="minorHAnsi"/>
                <w:sz w:val="24"/>
                <w:szCs w:val="24"/>
              </w:rPr>
            </w:pPr>
            <w:r w:rsidRPr="0007530E">
              <w:rPr>
                <w:rFonts w:asciiTheme="minorHAnsi" w:hAnsiTheme="minorHAnsi" w:cstheme="minorHAnsi"/>
                <w:b/>
                <w:sz w:val="24"/>
                <w:szCs w:val="24"/>
              </w:rPr>
              <w:t>Date</w:t>
            </w:r>
          </w:p>
        </w:tc>
      </w:tr>
      <w:tr w:rsidR="001C27E0" w:rsidRPr="0007530E" w14:paraId="28A7841C" w14:textId="77777777" w:rsidTr="00075C11">
        <w:trPr>
          <w:trHeight w:val="253"/>
        </w:trPr>
        <w:tc>
          <w:tcPr>
            <w:tcW w:w="2521" w:type="dxa"/>
            <w:vAlign w:val="center"/>
          </w:tcPr>
          <w:p w14:paraId="15F8DCC3" w14:textId="77777777" w:rsidR="001C27E0" w:rsidRPr="0007530E" w:rsidRDefault="001C27E0" w:rsidP="00075C11">
            <w:pPr>
              <w:pStyle w:val="NoSpacing"/>
              <w:jc w:val="both"/>
              <w:rPr>
                <w:rFonts w:asciiTheme="minorHAnsi" w:hAnsiTheme="minorHAnsi" w:cstheme="minorHAnsi"/>
                <w:b/>
                <w:sz w:val="24"/>
                <w:szCs w:val="24"/>
              </w:rPr>
            </w:pPr>
          </w:p>
        </w:tc>
        <w:tc>
          <w:tcPr>
            <w:tcW w:w="3995" w:type="dxa"/>
            <w:vAlign w:val="center"/>
          </w:tcPr>
          <w:p w14:paraId="0739D266" w14:textId="77777777" w:rsidR="001C27E0" w:rsidRPr="0007530E" w:rsidRDefault="001C27E0" w:rsidP="00075C11">
            <w:pPr>
              <w:pStyle w:val="NoSpacing"/>
              <w:jc w:val="both"/>
              <w:rPr>
                <w:rFonts w:asciiTheme="minorHAnsi" w:hAnsiTheme="minorHAnsi" w:cstheme="minorHAnsi"/>
                <w:sz w:val="24"/>
                <w:szCs w:val="24"/>
              </w:rPr>
            </w:pPr>
          </w:p>
        </w:tc>
        <w:tc>
          <w:tcPr>
            <w:tcW w:w="1843" w:type="dxa"/>
            <w:vAlign w:val="center"/>
          </w:tcPr>
          <w:p w14:paraId="50495750" w14:textId="77777777" w:rsidR="001C27E0" w:rsidRPr="0007530E" w:rsidRDefault="001C27E0" w:rsidP="00075C11">
            <w:pPr>
              <w:pStyle w:val="NoSpacing"/>
              <w:jc w:val="both"/>
              <w:rPr>
                <w:rFonts w:asciiTheme="minorHAnsi" w:hAnsiTheme="minorHAnsi" w:cstheme="minorHAnsi"/>
                <w:sz w:val="24"/>
                <w:szCs w:val="24"/>
              </w:rPr>
            </w:pPr>
          </w:p>
        </w:tc>
      </w:tr>
      <w:tr w:rsidR="001C27E0" w:rsidRPr="0007530E" w14:paraId="52E8ABF4" w14:textId="77777777" w:rsidTr="00075C11">
        <w:trPr>
          <w:trHeight w:val="253"/>
        </w:trPr>
        <w:tc>
          <w:tcPr>
            <w:tcW w:w="2521" w:type="dxa"/>
            <w:vAlign w:val="center"/>
          </w:tcPr>
          <w:p w14:paraId="3D83FD2A" w14:textId="77777777" w:rsidR="001C27E0" w:rsidRPr="0007530E" w:rsidRDefault="001C27E0" w:rsidP="00075C11">
            <w:pPr>
              <w:pStyle w:val="NoSpacing"/>
              <w:jc w:val="both"/>
              <w:rPr>
                <w:rFonts w:asciiTheme="minorHAnsi" w:hAnsiTheme="minorHAnsi" w:cstheme="minorHAnsi"/>
                <w:b/>
                <w:sz w:val="24"/>
                <w:szCs w:val="24"/>
              </w:rPr>
            </w:pPr>
          </w:p>
        </w:tc>
        <w:tc>
          <w:tcPr>
            <w:tcW w:w="3995" w:type="dxa"/>
            <w:vAlign w:val="center"/>
          </w:tcPr>
          <w:p w14:paraId="0B9409AE" w14:textId="77777777" w:rsidR="001C27E0" w:rsidRPr="0007530E" w:rsidRDefault="001C27E0" w:rsidP="00075C11">
            <w:pPr>
              <w:pStyle w:val="NoSpacing"/>
              <w:jc w:val="both"/>
              <w:rPr>
                <w:rFonts w:asciiTheme="minorHAnsi" w:hAnsiTheme="minorHAnsi" w:cstheme="minorHAnsi"/>
                <w:sz w:val="24"/>
                <w:szCs w:val="24"/>
              </w:rPr>
            </w:pPr>
          </w:p>
        </w:tc>
        <w:tc>
          <w:tcPr>
            <w:tcW w:w="1843" w:type="dxa"/>
            <w:vAlign w:val="center"/>
          </w:tcPr>
          <w:p w14:paraId="49440E62" w14:textId="77777777" w:rsidR="001C27E0" w:rsidRPr="0007530E" w:rsidRDefault="001C27E0" w:rsidP="00075C11">
            <w:pPr>
              <w:pStyle w:val="NoSpacing"/>
              <w:jc w:val="both"/>
              <w:rPr>
                <w:rFonts w:asciiTheme="minorHAnsi" w:hAnsiTheme="minorHAnsi" w:cstheme="minorHAnsi"/>
                <w:sz w:val="24"/>
                <w:szCs w:val="24"/>
              </w:rPr>
            </w:pPr>
          </w:p>
        </w:tc>
      </w:tr>
    </w:tbl>
    <w:p w14:paraId="43198E20" w14:textId="77777777" w:rsidR="001C27E0" w:rsidRDefault="001C27E0" w:rsidP="001A1768">
      <w:pPr>
        <w:jc w:val="left"/>
        <w:rPr>
          <w:rFonts w:ascii="Aptos" w:hAnsi="Aptos"/>
          <w:sz w:val="24"/>
          <w:szCs w:val="24"/>
        </w:rPr>
      </w:pPr>
    </w:p>
    <w:p w14:paraId="466E3D56" w14:textId="77777777" w:rsidR="001C27E0" w:rsidRPr="001A1768" w:rsidRDefault="001C27E0" w:rsidP="001A1768">
      <w:pPr>
        <w:jc w:val="left"/>
        <w:rPr>
          <w:rFonts w:ascii="Aptos" w:hAnsi="Aptos"/>
          <w:sz w:val="24"/>
          <w:szCs w:val="24"/>
        </w:rPr>
      </w:pPr>
      <w:r w:rsidRPr="001C27E0">
        <w:rPr>
          <w:rFonts w:ascii="Aptos" w:hAnsi="Aptos"/>
          <w:sz w:val="24"/>
          <w:szCs w:val="24"/>
        </w:rPr>
        <w:t>This guidance is available in different formats and languages on request. Please contact</w:t>
      </w:r>
      <w:r>
        <w:rPr>
          <w:rFonts w:ascii="Aptos" w:hAnsi="Aptos"/>
          <w:sz w:val="24"/>
          <w:szCs w:val="24"/>
        </w:rPr>
        <w:t xml:space="preserve"> </w:t>
      </w:r>
      <w:hyperlink r:id="rId15" w:history="1">
        <w:r w:rsidRPr="009B3D69">
          <w:rPr>
            <w:rStyle w:val="Hyperlink"/>
            <w:rFonts w:ascii="Aptos" w:hAnsi="Aptos"/>
            <w:sz w:val="24"/>
            <w:szCs w:val="24"/>
          </w:rPr>
          <w:t>equalopportunities@moray.gov.uk</w:t>
        </w:r>
      </w:hyperlink>
      <w:r>
        <w:rPr>
          <w:rFonts w:ascii="Aptos" w:hAnsi="Aptos"/>
          <w:sz w:val="24"/>
          <w:szCs w:val="24"/>
        </w:rPr>
        <w:t xml:space="preserve"> </w:t>
      </w:r>
    </w:p>
    <w:p w14:paraId="0E33F2AC" w14:textId="77777777" w:rsidR="001C27E0" w:rsidRDefault="00474236" w:rsidP="001A1768">
      <w:pPr>
        <w:jc w:val="left"/>
        <w:rPr>
          <w:rFonts w:ascii="Aptos" w:hAnsi="Aptos"/>
          <w:sz w:val="24"/>
          <w:szCs w:val="24"/>
        </w:rPr>
      </w:pPr>
      <w:r w:rsidRPr="001A1768">
        <w:rPr>
          <w:rFonts w:ascii="Aptos" w:hAnsi="Aptos"/>
          <w:sz w:val="24"/>
          <w:szCs w:val="24"/>
        </w:rPr>
        <w:br w:type="page"/>
      </w:r>
    </w:p>
    <w:sdt>
      <w:sdtPr>
        <w:rPr>
          <w:rFonts w:asciiTheme="minorHAnsi" w:eastAsiaTheme="minorHAnsi" w:hAnsiTheme="minorHAnsi" w:cstheme="minorBidi"/>
          <w:color w:val="auto"/>
          <w:sz w:val="22"/>
          <w:szCs w:val="22"/>
          <w:lang w:eastAsia="en-US"/>
        </w:rPr>
        <w:id w:val="-1285110672"/>
        <w:docPartObj>
          <w:docPartGallery w:val="Table of Contents"/>
          <w:docPartUnique/>
        </w:docPartObj>
      </w:sdtPr>
      <w:sdtEndPr>
        <w:rPr>
          <w:b/>
          <w:bCs/>
        </w:rPr>
      </w:sdtEndPr>
      <w:sdtContent>
        <w:p w14:paraId="79F16F92" w14:textId="77777777" w:rsidR="001C27E0" w:rsidRDefault="001C27E0">
          <w:pPr>
            <w:pStyle w:val="TOCHeading"/>
          </w:pPr>
          <w:r>
            <w:t>Contents</w:t>
          </w:r>
        </w:p>
        <w:p w14:paraId="3E5231FE" w14:textId="77777777" w:rsidR="00664945" w:rsidRDefault="001C27E0">
          <w:pPr>
            <w:pStyle w:val="TOC1"/>
            <w:tabs>
              <w:tab w:val="left" w:pos="48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1091287" w:history="1">
            <w:r w:rsidR="00664945" w:rsidRPr="00211ABE">
              <w:rPr>
                <w:rStyle w:val="Hyperlink"/>
                <w:rFonts w:ascii="Aptos" w:hAnsi="Aptos"/>
                <w:noProof/>
              </w:rPr>
              <w:t>1.</w:t>
            </w:r>
            <w:r w:rsidR="00664945">
              <w:rPr>
                <w:rFonts w:eastAsiaTheme="minorEastAsia"/>
                <w:noProof/>
                <w:kern w:val="2"/>
                <w:sz w:val="24"/>
                <w:szCs w:val="24"/>
                <w:lang w:eastAsia="en-GB"/>
                <w14:ligatures w14:val="standardContextual"/>
              </w:rPr>
              <w:tab/>
            </w:r>
            <w:r w:rsidR="00664945" w:rsidRPr="00211ABE">
              <w:rPr>
                <w:rStyle w:val="Hyperlink"/>
                <w:rFonts w:ascii="Aptos" w:hAnsi="Aptos"/>
                <w:noProof/>
              </w:rPr>
              <w:t>Introduction</w:t>
            </w:r>
            <w:r w:rsidR="00664945">
              <w:rPr>
                <w:noProof/>
                <w:webHidden/>
              </w:rPr>
              <w:tab/>
            </w:r>
            <w:r w:rsidR="00664945">
              <w:rPr>
                <w:noProof/>
                <w:webHidden/>
              </w:rPr>
              <w:fldChar w:fldCharType="begin"/>
            </w:r>
            <w:r w:rsidR="00664945">
              <w:rPr>
                <w:noProof/>
                <w:webHidden/>
              </w:rPr>
              <w:instrText xml:space="preserve"> PAGEREF _Toc221091287 \h </w:instrText>
            </w:r>
            <w:r w:rsidR="00664945">
              <w:rPr>
                <w:noProof/>
                <w:webHidden/>
              </w:rPr>
            </w:r>
            <w:r w:rsidR="00664945">
              <w:rPr>
                <w:noProof/>
                <w:webHidden/>
              </w:rPr>
              <w:fldChar w:fldCharType="separate"/>
            </w:r>
            <w:r w:rsidR="00664945">
              <w:rPr>
                <w:noProof/>
                <w:webHidden/>
              </w:rPr>
              <w:t>3</w:t>
            </w:r>
            <w:r w:rsidR="00664945">
              <w:rPr>
                <w:noProof/>
                <w:webHidden/>
              </w:rPr>
              <w:fldChar w:fldCharType="end"/>
            </w:r>
          </w:hyperlink>
        </w:p>
        <w:p w14:paraId="7254C426" w14:textId="77777777" w:rsidR="00664945" w:rsidRDefault="00664945">
          <w:pPr>
            <w:pStyle w:val="TOC1"/>
            <w:tabs>
              <w:tab w:val="left" w:pos="480"/>
              <w:tab w:val="right" w:leader="dot" w:pos="9016"/>
            </w:tabs>
            <w:rPr>
              <w:rFonts w:eastAsiaTheme="minorEastAsia"/>
              <w:noProof/>
              <w:kern w:val="2"/>
              <w:sz w:val="24"/>
              <w:szCs w:val="24"/>
              <w:lang w:eastAsia="en-GB"/>
              <w14:ligatures w14:val="standardContextual"/>
            </w:rPr>
          </w:pPr>
          <w:hyperlink w:anchor="_Toc221091288" w:history="1">
            <w:r w:rsidRPr="00211ABE">
              <w:rPr>
                <w:rStyle w:val="Hyperlink"/>
                <w:rFonts w:ascii="Aptos" w:hAnsi="Aptos"/>
                <w:noProof/>
              </w:rPr>
              <w:t>2.</w:t>
            </w:r>
            <w:r>
              <w:rPr>
                <w:rFonts w:eastAsiaTheme="minorEastAsia"/>
                <w:noProof/>
                <w:kern w:val="2"/>
                <w:sz w:val="24"/>
                <w:szCs w:val="24"/>
                <w:lang w:eastAsia="en-GB"/>
                <w14:ligatures w14:val="standardContextual"/>
              </w:rPr>
              <w:tab/>
            </w:r>
            <w:r w:rsidRPr="00211ABE">
              <w:rPr>
                <w:rStyle w:val="Hyperlink"/>
                <w:rFonts w:ascii="Aptos" w:hAnsi="Aptos"/>
                <w:noProof/>
              </w:rPr>
              <w:t>Scope</w:t>
            </w:r>
            <w:r>
              <w:rPr>
                <w:noProof/>
                <w:webHidden/>
              </w:rPr>
              <w:tab/>
            </w:r>
            <w:r>
              <w:rPr>
                <w:noProof/>
                <w:webHidden/>
              </w:rPr>
              <w:fldChar w:fldCharType="begin"/>
            </w:r>
            <w:r>
              <w:rPr>
                <w:noProof/>
                <w:webHidden/>
              </w:rPr>
              <w:instrText xml:space="preserve"> PAGEREF _Toc221091288 \h </w:instrText>
            </w:r>
            <w:r>
              <w:rPr>
                <w:noProof/>
                <w:webHidden/>
              </w:rPr>
            </w:r>
            <w:r>
              <w:rPr>
                <w:noProof/>
                <w:webHidden/>
              </w:rPr>
              <w:fldChar w:fldCharType="separate"/>
            </w:r>
            <w:r>
              <w:rPr>
                <w:noProof/>
                <w:webHidden/>
              </w:rPr>
              <w:t>3</w:t>
            </w:r>
            <w:r>
              <w:rPr>
                <w:noProof/>
                <w:webHidden/>
              </w:rPr>
              <w:fldChar w:fldCharType="end"/>
            </w:r>
          </w:hyperlink>
        </w:p>
        <w:p w14:paraId="38F5CEB4" w14:textId="77777777" w:rsidR="00664945" w:rsidRDefault="00664945">
          <w:pPr>
            <w:pStyle w:val="TOC1"/>
            <w:tabs>
              <w:tab w:val="left" w:pos="480"/>
              <w:tab w:val="right" w:leader="dot" w:pos="9016"/>
            </w:tabs>
            <w:rPr>
              <w:rFonts w:eastAsiaTheme="minorEastAsia"/>
              <w:noProof/>
              <w:kern w:val="2"/>
              <w:sz w:val="24"/>
              <w:szCs w:val="24"/>
              <w:lang w:eastAsia="en-GB"/>
              <w14:ligatures w14:val="standardContextual"/>
            </w:rPr>
          </w:pPr>
          <w:hyperlink w:anchor="_Toc221091289" w:history="1">
            <w:r w:rsidRPr="00211ABE">
              <w:rPr>
                <w:rStyle w:val="Hyperlink"/>
                <w:rFonts w:ascii="Aptos" w:hAnsi="Aptos"/>
                <w:noProof/>
              </w:rPr>
              <w:t>3.</w:t>
            </w:r>
            <w:r>
              <w:rPr>
                <w:rFonts w:eastAsiaTheme="minorEastAsia"/>
                <w:noProof/>
                <w:kern w:val="2"/>
                <w:sz w:val="24"/>
                <w:szCs w:val="24"/>
                <w:lang w:eastAsia="en-GB"/>
                <w14:ligatures w14:val="standardContextual"/>
              </w:rPr>
              <w:tab/>
            </w:r>
            <w:r w:rsidRPr="00211ABE">
              <w:rPr>
                <w:rStyle w:val="Hyperlink"/>
                <w:rFonts w:ascii="Aptos" w:hAnsi="Aptos"/>
                <w:noProof/>
              </w:rPr>
              <w:t>Assessments and resources used in Moray on a single and multiagency basis</w:t>
            </w:r>
            <w:r>
              <w:rPr>
                <w:noProof/>
                <w:webHidden/>
              </w:rPr>
              <w:tab/>
            </w:r>
            <w:r>
              <w:rPr>
                <w:noProof/>
                <w:webHidden/>
              </w:rPr>
              <w:fldChar w:fldCharType="begin"/>
            </w:r>
            <w:r>
              <w:rPr>
                <w:noProof/>
                <w:webHidden/>
              </w:rPr>
              <w:instrText xml:space="preserve"> PAGEREF _Toc221091289 \h </w:instrText>
            </w:r>
            <w:r>
              <w:rPr>
                <w:noProof/>
                <w:webHidden/>
              </w:rPr>
            </w:r>
            <w:r>
              <w:rPr>
                <w:noProof/>
                <w:webHidden/>
              </w:rPr>
              <w:fldChar w:fldCharType="separate"/>
            </w:r>
            <w:r>
              <w:rPr>
                <w:noProof/>
                <w:webHidden/>
              </w:rPr>
              <w:t>4</w:t>
            </w:r>
            <w:r>
              <w:rPr>
                <w:noProof/>
                <w:webHidden/>
              </w:rPr>
              <w:fldChar w:fldCharType="end"/>
            </w:r>
          </w:hyperlink>
        </w:p>
        <w:p w14:paraId="4907B49E" w14:textId="77777777" w:rsidR="00664945" w:rsidRDefault="00664945">
          <w:pPr>
            <w:pStyle w:val="TOC1"/>
            <w:tabs>
              <w:tab w:val="left" w:pos="480"/>
              <w:tab w:val="right" w:leader="dot" w:pos="9016"/>
            </w:tabs>
            <w:rPr>
              <w:rFonts w:eastAsiaTheme="minorEastAsia"/>
              <w:noProof/>
              <w:kern w:val="2"/>
              <w:sz w:val="24"/>
              <w:szCs w:val="24"/>
              <w:lang w:eastAsia="en-GB"/>
              <w14:ligatures w14:val="standardContextual"/>
            </w:rPr>
          </w:pPr>
          <w:hyperlink w:anchor="_Toc221091290" w:history="1">
            <w:r w:rsidRPr="00211ABE">
              <w:rPr>
                <w:rStyle w:val="Hyperlink"/>
                <w:rFonts w:ascii="Aptos" w:hAnsi="Aptos"/>
                <w:noProof/>
              </w:rPr>
              <w:t>4.</w:t>
            </w:r>
            <w:r>
              <w:rPr>
                <w:rFonts w:eastAsiaTheme="minorEastAsia"/>
                <w:noProof/>
                <w:kern w:val="2"/>
                <w:sz w:val="24"/>
                <w:szCs w:val="24"/>
                <w:lang w:eastAsia="en-GB"/>
                <w14:ligatures w14:val="standardContextual"/>
              </w:rPr>
              <w:tab/>
            </w:r>
            <w:r w:rsidRPr="00211ABE">
              <w:rPr>
                <w:rStyle w:val="Hyperlink"/>
                <w:rFonts w:ascii="Aptos" w:hAnsi="Aptos"/>
                <w:noProof/>
              </w:rPr>
              <w:t>Implementation Plan</w:t>
            </w:r>
            <w:r>
              <w:rPr>
                <w:noProof/>
                <w:webHidden/>
              </w:rPr>
              <w:tab/>
            </w:r>
            <w:r>
              <w:rPr>
                <w:noProof/>
                <w:webHidden/>
              </w:rPr>
              <w:fldChar w:fldCharType="begin"/>
            </w:r>
            <w:r>
              <w:rPr>
                <w:noProof/>
                <w:webHidden/>
              </w:rPr>
              <w:instrText xml:space="preserve"> PAGEREF _Toc221091290 \h </w:instrText>
            </w:r>
            <w:r>
              <w:rPr>
                <w:noProof/>
                <w:webHidden/>
              </w:rPr>
            </w:r>
            <w:r>
              <w:rPr>
                <w:noProof/>
                <w:webHidden/>
              </w:rPr>
              <w:fldChar w:fldCharType="separate"/>
            </w:r>
            <w:r>
              <w:rPr>
                <w:noProof/>
                <w:webHidden/>
              </w:rPr>
              <w:t>15</w:t>
            </w:r>
            <w:r>
              <w:rPr>
                <w:noProof/>
                <w:webHidden/>
              </w:rPr>
              <w:fldChar w:fldCharType="end"/>
            </w:r>
          </w:hyperlink>
        </w:p>
        <w:p w14:paraId="47A8FA73" w14:textId="77777777" w:rsidR="001C27E0" w:rsidRDefault="001C27E0">
          <w:r>
            <w:rPr>
              <w:b/>
              <w:bCs/>
            </w:rPr>
            <w:fldChar w:fldCharType="end"/>
          </w:r>
        </w:p>
      </w:sdtContent>
    </w:sdt>
    <w:p w14:paraId="389CDA94" w14:textId="77777777" w:rsidR="001C27E0" w:rsidRDefault="001C27E0">
      <w:pPr>
        <w:rPr>
          <w:rFonts w:ascii="Aptos" w:hAnsi="Aptos"/>
          <w:sz w:val="24"/>
          <w:szCs w:val="24"/>
        </w:rPr>
      </w:pPr>
      <w:r>
        <w:rPr>
          <w:rFonts w:ascii="Aptos" w:hAnsi="Aptos"/>
          <w:sz w:val="24"/>
          <w:szCs w:val="24"/>
        </w:rPr>
        <w:br w:type="page"/>
      </w:r>
    </w:p>
    <w:p w14:paraId="747A4092" w14:textId="77777777" w:rsidR="00096573" w:rsidRPr="001A1768" w:rsidRDefault="00096573" w:rsidP="001A1768">
      <w:pPr>
        <w:pStyle w:val="Heading1"/>
        <w:numPr>
          <w:ilvl w:val="0"/>
          <w:numId w:val="2"/>
        </w:numPr>
        <w:jc w:val="left"/>
        <w:rPr>
          <w:rFonts w:ascii="Aptos" w:hAnsi="Aptos"/>
          <w:sz w:val="24"/>
          <w:szCs w:val="24"/>
        </w:rPr>
      </w:pPr>
      <w:bookmarkStart w:id="0" w:name="_Toc221091287"/>
      <w:r w:rsidRPr="001A1768">
        <w:rPr>
          <w:rFonts w:ascii="Aptos" w:hAnsi="Aptos"/>
          <w:sz w:val="24"/>
          <w:szCs w:val="24"/>
        </w:rPr>
        <w:lastRenderedPageBreak/>
        <w:t>Introduction</w:t>
      </w:r>
      <w:bookmarkEnd w:id="0"/>
    </w:p>
    <w:p w14:paraId="110C14F5" w14:textId="77777777" w:rsidR="00474236" w:rsidRPr="001A1768" w:rsidRDefault="00A177D5" w:rsidP="001C27E0">
      <w:pPr>
        <w:rPr>
          <w:rFonts w:ascii="Aptos" w:hAnsi="Aptos"/>
          <w:sz w:val="24"/>
          <w:szCs w:val="24"/>
        </w:rPr>
      </w:pPr>
      <w:r>
        <w:rPr>
          <w:rFonts w:ascii="Aptos" w:hAnsi="Aptos"/>
          <w:sz w:val="24"/>
          <w:szCs w:val="24"/>
        </w:rPr>
        <w:t>Local l</w:t>
      </w:r>
      <w:r w:rsidR="00474236" w:rsidRPr="001A1768">
        <w:rPr>
          <w:rFonts w:ascii="Aptos" w:hAnsi="Aptos"/>
          <w:sz w:val="24"/>
          <w:szCs w:val="24"/>
        </w:rPr>
        <w:t xml:space="preserve">earning reviews have indicated that the workforce across the partnership would benefit from a </w:t>
      </w:r>
      <w:r>
        <w:rPr>
          <w:rFonts w:ascii="Aptos" w:hAnsi="Aptos"/>
          <w:sz w:val="24"/>
          <w:szCs w:val="24"/>
        </w:rPr>
        <w:t xml:space="preserve">document outlining the standard and specialised assessment </w:t>
      </w:r>
      <w:r w:rsidR="00F00319">
        <w:rPr>
          <w:rFonts w:ascii="Aptos" w:hAnsi="Aptos"/>
          <w:sz w:val="24"/>
          <w:szCs w:val="24"/>
        </w:rPr>
        <w:t xml:space="preserve">tools </w:t>
      </w:r>
      <w:r>
        <w:rPr>
          <w:rFonts w:ascii="Aptos" w:hAnsi="Aptos"/>
          <w:sz w:val="24"/>
          <w:szCs w:val="24"/>
        </w:rPr>
        <w:t xml:space="preserve">used on a single or multiagency basis to understand children and their families. </w:t>
      </w:r>
      <w:r w:rsidR="00474236" w:rsidRPr="001A1768">
        <w:rPr>
          <w:rFonts w:ascii="Aptos" w:hAnsi="Aptos"/>
          <w:sz w:val="24"/>
          <w:szCs w:val="24"/>
        </w:rPr>
        <w:t xml:space="preserve">This document aims to offer clarity in relation to single and multi-agency tools that are used </w:t>
      </w:r>
      <w:r w:rsidR="00F00319">
        <w:rPr>
          <w:rFonts w:ascii="Aptos" w:hAnsi="Aptos"/>
          <w:sz w:val="24"/>
          <w:szCs w:val="24"/>
        </w:rPr>
        <w:t xml:space="preserve">as part of child planning in Moray. </w:t>
      </w:r>
    </w:p>
    <w:p w14:paraId="178CAE7C" w14:textId="77777777" w:rsidR="00096573" w:rsidRPr="001A1768" w:rsidRDefault="00474236" w:rsidP="001C27E0">
      <w:pPr>
        <w:rPr>
          <w:rFonts w:ascii="Aptos" w:hAnsi="Aptos"/>
          <w:sz w:val="24"/>
          <w:szCs w:val="24"/>
        </w:rPr>
      </w:pPr>
      <w:r w:rsidRPr="001A1768">
        <w:rPr>
          <w:rFonts w:ascii="Aptos" w:hAnsi="Aptos"/>
          <w:sz w:val="24"/>
          <w:szCs w:val="24"/>
        </w:rPr>
        <w:t xml:space="preserve">Assessments are undertaken to ensure that every child has the right environment and support to thrive, regardless of their circumstance. They are designed to identify and address the unique needs of each child ensuring that support is tailored to their individual growth and development. All assessments are undertaken alongside families, ensuring that the voice and views of children, young people and their families are represented and considered. </w:t>
      </w:r>
      <w:r w:rsidR="00A177D5">
        <w:rPr>
          <w:rFonts w:ascii="Aptos" w:hAnsi="Aptos"/>
          <w:sz w:val="24"/>
          <w:szCs w:val="24"/>
        </w:rPr>
        <w:t xml:space="preserve">It is the legal duty of public bodies to ensure that children’s views and best interest are explicitly considered during decision making impacting on their lives. </w:t>
      </w:r>
    </w:p>
    <w:p w14:paraId="0B0E765C" w14:textId="77777777" w:rsidR="00096573" w:rsidRPr="001A1768" w:rsidRDefault="00096573" w:rsidP="001A1768">
      <w:pPr>
        <w:pStyle w:val="Heading1"/>
        <w:numPr>
          <w:ilvl w:val="0"/>
          <w:numId w:val="2"/>
        </w:numPr>
        <w:jc w:val="left"/>
        <w:rPr>
          <w:rFonts w:ascii="Aptos" w:hAnsi="Aptos"/>
          <w:sz w:val="24"/>
          <w:szCs w:val="24"/>
        </w:rPr>
      </w:pPr>
      <w:bookmarkStart w:id="1" w:name="_Toc221091288"/>
      <w:r w:rsidRPr="001A1768">
        <w:rPr>
          <w:rFonts w:ascii="Aptos" w:hAnsi="Aptos"/>
          <w:sz w:val="24"/>
          <w:szCs w:val="24"/>
        </w:rPr>
        <w:t>Scope</w:t>
      </w:r>
      <w:bookmarkEnd w:id="1"/>
    </w:p>
    <w:p w14:paraId="44DF5A73" w14:textId="77777777" w:rsidR="001C27E0" w:rsidRPr="001C27E0" w:rsidRDefault="001C27E0" w:rsidP="001C27E0">
      <w:pPr>
        <w:rPr>
          <w:rFonts w:ascii="Aptos" w:hAnsi="Aptos"/>
          <w:sz w:val="24"/>
          <w:szCs w:val="24"/>
        </w:rPr>
      </w:pPr>
      <w:r w:rsidRPr="001C27E0">
        <w:rPr>
          <w:rFonts w:ascii="Aptos" w:hAnsi="Aptos"/>
          <w:sz w:val="24"/>
          <w:szCs w:val="24"/>
        </w:rPr>
        <w:t xml:space="preserve">This </w:t>
      </w:r>
      <w:r w:rsidR="00A177D5">
        <w:rPr>
          <w:rFonts w:ascii="Aptos" w:hAnsi="Aptos"/>
          <w:sz w:val="24"/>
          <w:szCs w:val="24"/>
        </w:rPr>
        <w:t>document</w:t>
      </w:r>
      <w:r w:rsidRPr="001C27E0">
        <w:rPr>
          <w:rFonts w:ascii="Aptos" w:hAnsi="Aptos"/>
          <w:sz w:val="24"/>
          <w:szCs w:val="24"/>
        </w:rPr>
        <w:t xml:space="preserve"> applies to all staff involved in child protection processes and is expected to be employed from </w:t>
      </w:r>
      <w:r>
        <w:rPr>
          <w:rFonts w:ascii="Aptos" w:hAnsi="Aptos"/>
          <w:sz w:val="24"/>
          <w:szCs w:val="24"/>
        </w:rPr>
        <w:t xml:space="preserve">1 </w:t>
      </w:r>
      <w:r w:rsidR="00A177D5">
        <w:rPr>
          <w:rFonts w:ascii="Aptos" w:hAnsi="Aptos"/>
          <w:sz w:val="24"/>
          <w:szCs w:val="24"/>
        </w:rPr>
        <w:t xml:space="preserve">March </w:t>
      </w:r>
      <w:r>
        <w:rPr>
          <w:rFonts w:ascii="Aptos" w:hAnsi="Aptos"/>
          <w:sz w:val="24"/>
          <w:szCs w:val="24"/>
        </w:rPr>
        <w:t>2025</w:t>
      </w:r>
      <w:r w:rsidRPr="001C27E0">
        <w:rPr>
          <w:rFonts w:ascii="Aptos" w:hAnsi="Aptos"/>
          <w:sz w:val="24"/>
          <w:szCs w:val="24"/>
        </w:rPr>
        <w:t xml:space="preserve">. Any additions will be considered on an exceptional basis by the Child Protection Implementation Group with agreement from the Child Protection Committee. </w:t>
      </w:r>
    </w:p>
    <w:p w14:paraId="479DBC01" w14:textId="77777777" w:rsidR="001C27E0" w:rsidRPr="001A1768" w:rsidRDefault="001C27E0" w:rsidP="001C27E0">
      <w:pPr>
        <w:rPr>
          <w:rFonts w:ascii="Aptos" w:hAnsi="Aptos"/>
          <w:sz w:val="24"/>
          <w:szCs w:val="24"/>
        </w:rPr>
        <w:sectPr w:rsidR="001C27E0" w:rsidRPr="001A1768">
          <w:footerReference w:type="default" r:id="rId16"/>
          <w:pgSz w:w="11906" w:h="16838"/>
          <w:pgMar w:top="1440" w:right="1440" w:bottom="1440" w:left="1440" w:header="708" w:footer="708" w:gutter="0"/>
          <w:cols w:space="708"/>
          <w:docGrid w:linePitch="360"/>
        </w:sectPr>
      </w:pPr>
      <w:r w:rsidRPr="001C27E0">
        <w:rPr>
          <w:rFonts w:ascii="Aptos" w:hAnsi="Aptos"/>
          <w:sz w:val="24"/>
          <w:szCs w:val="24"/>
        </w:rPr>
        <w:t>All staff/groups with responsibility for protecting children and young people should be aware of and ensure that they comply with the</w:t>
      </w:r>
      <w:r w:rsidR="00A177D5">
        <w:rPr>
          <w:rFonts w:ascii="Aptos" w:hAnsi="Aptos"/>
          <w:sz w:val="24"/>
          <w:szCs w:val="24"/>
        </w:rPr>
        <w:t xml:space="preserve"> contents</w:t>
      </w:r>
      <w:r w:rsidRPr="001C27E0">
        <w:rPr>
          <w:rFonts w:ascii="Aptos" w:hAnsi="Aptos"/>
          <w:sz w:val="24"/>
          <w:szCs w:val="24"/>
        </w:rPr>
        <w:t xml:space="preserve">.  The Child Protection Implementation Group will communicate information on </w:t>
      </w:r>
      <w:r w:rsidR="00A177D5">
        <w:rPr>
          <w:rFonts w:ascii="Aptos" w:hAnsi="Aptos"/>
          <w:sz w:val="24"/>
          <w:szCs w:val="24"/>
        </w:rPr>
        <w:t>this document</w:t>
      </w:r>
      <w:r w:rsidRPr="001C27E0">
        <w:rPr>
          <w:rFonts w:ascii="Aptos" w:hAnsi="Aptos"/>
          <w:sz w:val="24"/>
          <w:szCs w:val="24"/>
        </w:rPr>
        <w:t xml:space="preserve"> to all necessary staff/groups and ensure </w:t>
      </w:r>
      <w:r w:rsidR="00A177D5">
        <w:rPr>
          <w:rFonts w:ascii="Aptos" w:hAnsi="Aptos"/>
          <w:sz w:val="24"/>
          <w:szCs w:val="24"/>
        </w:rPr>
        <w:t xml:space="preserve">it </w:t>
      </w:r>
      <w:r w:rsidRPr="001C27E0">
        <w:rPr>
          <w:rFonts w:ascii="Aptos" w:hAnsi="Aptos"/>
          <w:sz w:val="24"/>
          <w:szCs w:val="24"/>
        </w:rPr>
        <w:t xml:space="preserve">is accessible on appropriate websites. Agencies </w:t>
      </w:r>
      <w:r w:rsidR="00A177D5">
        <w:rPr>
          <w:rFonts w:ascii="Aptos" w:hAnsi="Aptos"/>
          <w:sz w:val="24"/>
          <w:szCs w:val="24"/>
        </w:rPr>
        <w:t>within the partnership</w:t>
      </w:r>
      <w:r w:rsidR="001F2FF7">
        <w:rPr>
          <w:rFonts w:ascii="Aptos" w:hAnsi="Aptos"/>
          <w:sz w:val="24"/>
          <w:szCs w:val="24"/>
        </w:rPr>
        <w:t xml:space="preserve"> </w:t>
      </w:r>
      <w:r w:rsidRPr="001C27E0">
        <w:rPr>
          <w:rFonts w:ascii="Aptos" w:hAnsi="Aptos"/>
          <w:sz w:val="24"/>
          <w:szCs w:val="24"/>
        </w:rPr>
        <w:t>(e.g., Police, Education, Health, and Third Sector) are responsible for ensuring that corresponding procedures/policies are employed in their respective agencies</w:t>
      </w:r>
      <w:r w:rsidR="001F2FF7">
        <w:rPr>
          <w:rFonts w:ascii="Aptos" w:hAnsi="Aptos"/>
          <w:sz w:val="24"/>
          <w:szCs w:val="24"/>
        </w:rPr>
        <w:t xml:space="preserve"> as required</w:t>
      </w:r>
      <w:r w:rsidRPr="001C27E0">
        <w:rPr>
          <w:rFonts w:ascii="Aptos" w:hAnsi="Aptos"/>
          <w:sz w:val="24"/>
          <w:szCs w:val="24"/>
        </w:rPr>
        <w:t xml:space="preserve">. Third sector agencies and organisations are those that deliver essential services, but are independent from local government (including charities, social enterprises, and voluntary groups).  </w:t>
      </w:r>
    </w:p>
    <w:p w14:paraId="09423E1F" w14:textId="77777777" w:rsidR="00096573" w:rsidRPr="001A1768" w:rsidRDefault="00096573" w:rsidP="004C2AD2">
      <w:pPr>
        <w:pStyle w:val="Heading1"/>
        <w:numPr>
          <w:ilvl w:val="0"/>
          <w:numId w:val="2"/>
        </w:numPr>
        <w:ind w:left="714" w:hanging="357"/>
        <w:jc w:val="left"/>
        <w:rPr>
          <w:rFonts w:ascii="Aptos" w:hAnsi="Aptos"/>
          <w:sz w:val="24"/>
          <w:szCs w:val="24"/>
        </w:rPr>
      </w:pPr>
      <w:bookmarkStart w:id="2" w:name="_Toc221091289"/>
      <w:r w:rsidRPr="001A1768">
        <w:rPr>
          <w:rFonts w:ascii="Aptos" w:hAnsi="Aptos"/>
          <w:sz w:val="24"/>
          <w:szCs w:val="24"/>
        </w:rPr>
        <w:lastRenderedPageBreak/>
        <w:t xml:space="preserve">Assessments and </w:t>
      </w:r>
      <w:r w:rsidR="001F2FF7">
        <w:rPr>
          <w:rFonts w:ascii="Aptos" w:hAnsi="Aptos"/>
          <w:sz w:val="24"/>
          <w:szCs w:val="24"/>
        </w:rPr>
        <w:t>resources used in Moray on a single and multiagency basis</w:t>
      </w:r>
      <w:bookmarkEnd w:id="2"/>
    </w:p>
    <w:p w14:paraId="4D55D0E0" w14:textId="77777777" w:rsidR="00C474F8" w:rsidRDefault="001A1768" w:rsidP="001A1768">
      <w:pPr>
        <w:ind w:left="360"/>
        <w:jc w:val="left"/>
        <w:rPr>
          <w:rFonts w:ascii="Aptos" w:hAnsi="Aptos"/>
          <w:sz w:val="24"/>
          <w:szCs w:val="24"/>
        </w:rPr>
      </w:pPr>
      <w:r>
        <w:rPr>
          <w:rFonts w:ascii="Aptos" w:hAnsi="Aptos"/>
          <w:sz w:val="24"/>
          <w:szCs w:val="24"/>
        </w:rPr>
        <w:t xml:space="preserve">The assessments </w:t>
      </w:r>
      <w:r w:rsidR="001F2FF7">
        <w:rPr>
          <w:rFonts w:ascii="Aptos" w:hAnsi="Aptos"/>
          <w:sz w:val="24"/>
          <w:szCs w:val="24"/>
        </w:rPr>
        <w:t xml:space="preserve">and resources </w:t>
      </w:r>
      <w:r>
        <w:rPr>
          <w:rFonts w:ascii="Aptos" w:hAnsi="Aptos"/>
          <w:sz w:val="24"/>
          <w:szCs w:val="24"/>
        </w:rPr>
        <w:t xml:space="preserve">employed </w:t>
      </w:r>
      <w:r w:rsidR="00A177D5">
        <w:rPr>
          <w:rFonts w:ascii="Aptos" w:hAnsi="Aptos"/>
          <w:sz w:val="24"/>
          <w:szCs w:val="24"/>
        </w:rPr>
        <w:t>within</w:t>
      </w:r>
      <w:r>
        <w:rPr>
          <w:rFonts w:ascii="Aptos" w:hAnsi="Aptos"/>
          <w:sz w:val="24"/>
          <w:szCs w:val="24"/>
        </w:rPr>
        <w:t xml:space="preserve"> the Partnership in Moray are outlined in the table below, in alphabetical order.</w:t>
      </w:r>
      <w:r w:rsidR="00C474F8" w:rsidRPr="00C474F8">
        <w:rPr>
          <w:rFonts w:ascii="Aptos" w:hAnsi="Aptos"/>
          <w:sz w:val="24"/>
          <w:szCs w:val="24"/>
        </w:rPr>
        <w:t xml:space="preserve"> </w:t>
      </w:r>
      <w:r w:rsidR="00C474F8">
        <w:rPr>
          <w:rFonts w:ascii="Aptos" w:hAnsi="Aptos"/>
          <w:sz w:val="24"/>
          <w:szCs w:val="24"/>
        </w:rPr>
        <w:t xml:space="preserve">There may be other evidence-based tools available to trained practitioners.  </w:t>
      </w:r>
    </w:p>
    <w:p w14:paraId="703B0241" w14:textId="77777777" w:rsidR="001A1768" w:rsidRPr="001A1768" w:rsidRDefault="00664945" w:rsidP="001A1768">
      <w:pPr>
        <w:ind w:left="360"/>
        <w:jc w:val="left"/>
        <w:rPr>
          <w:rFonts w:ascii="Aptos" w:hAnsi="Aptos"/>
          <w:sz w:val="24"/>
          <w:szCs w:val="24"/>
        </w:rPr>
      </w:pPr>
      <w:r>
        <w:rPr>
          <w:rFonts w:ascii="Aptos" w:hAnsi="Aptos"/>
          <w:sz w:val="24"/>
          <w:szCs w:val="24"/>
        </w:rPr>
        <w:t>S</w:t>
      </w:r>
      <w:r w:rsidR="00C474F8">
        <w:rPr>
          <w:rFonts w:ascii="Aptos" w:hAnsi="Aptos"/>
          <w:sz w:val="24"/>
          <w:szCs w:val="24"/>
        </w:rPr>
        <w:t xml:space="preserve">ome of the tools below can only be used after completion of relevant training often offered on a single or multiagency basis. </w:t>
      </w:r>
      <w:r w:rsidR="00C474F8" w:rsidRPr="00C474F8">
        <w:rPr>
          <w:rFonts w:ascii="Aptos" w:hAnsi="Aptos"/>
          <w:sz w:val="24"/>
          <w:szCs w:val="24"/>
        </w:rPr>
        <w:t xml:space="preserve">It is essential that </w:t>
      </w:r>
      <w:r w:rsidR="00C474F8">
        <w:rPr>
          <w:rFonts w:ascii="Aptos" w:hAnsi="Aptos"/>
          <w:sz w:val="24"/>
          <w:szCs w:val="24"/>
        </w:rPr>
        <w:t xml:space="preserve">practitioners </w:t>
      </w:r>
      <w:r w:rsidR="00C474F8" w:rsidRPr="00C474F8">
        <w:rPr>
          <w:rFonts w:ascii="Aptos" w:hAnsi="Aptos"/>
          <w:sz w:val="24"/>
          <w:szCs w:val="24"/>
        </w:rPr>
        <w:t xml:space="preserve">only use or refer to </w:t>
      </w:r>
      <w:r w:rsidR="00C474F8">
        <w:rPr>
          <w:rFonts w:ascii="Aptos" w:hAnsi="Aptos"/>
          <w:sz w:val="24"/>
          <w:szCs w:val="24"/>
        </w:rPr>
        <w:t>assessment tools</w:t>
      </w:r>
      <w:r w:rsidR="00C474F8" w:rsidRPr="00C474F8">
        <w:rPr>
          <w:rFonts w:ascii="Aptos" w:hAnsi="Aptos"/>
          <w:sz w:val="24"/>
          <w:szCs w:val="24"/>
        </w:rPr>
        <w:t xml:space="preserve"> in reports that they have been trained to use</w:t>
      </w:r>
      <w:r>
        <w:rPr>
          <w:rFonts w:ascii="Aptos" w:hAnsi="Aptos"/>
          <w:sz w:val="24"/>
          <w:szCs w:val="24"/>
        </w:rPr>
        <w:t>.</w:t>
      </w:r>
      <w:r w:rsidR="00C474F8">
        <w:rPr>
          <w:rFonts w:ascii="Aptos" w:hAnsi="Aptos"/>
          <w:sz w:val="24"/>
          <w:szCs w:val="24"/>
        </w:rPr>
        <w:t xml:space="preserve"> </w:t>
      </w:r>
    </w:p>
    <w:tbl>
      <w:tblPr>
        <w:tblStyle w:val="GridTable4-Accent6"/>
        <w:tblW w:w="5000" w:type="pct"/>
        <w:tblLayout w:type="fixed"/>
        <w:tblLook w:val="04A0" w:firstRow="1" w:lastRow="0" w:firstColumn="1" w:lastColumn="0" w:noHBand="0" w:noVBand="1"/>
      </w:tblPr>
      <w:tblGrid>
        <w:gridCol w:w="1838"/>
        <w:gridCol w:w="6804"/>
        <w:gridCol w:w="1850"/>
        <w:gridCol w:w="3456"/>
      </w:tblGrid>
      <w:tr w:rsidR="001F2FF7" w:rsidRPr="00664945" w14:paraId="60673BF1" w14:textId="77777777" w:rsidTr="00F00319">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659" w:type="pct"/>
          </w:tcPr>
          <w:p w14:paraId="22D2727F" w14:textId="77777777" w:rsidR="001F2FF7" w:rsidRPr="00664945" w:rsidRDefault="001F2FF7" w:rsidP="001A1768">
            <w:pPr>
              <w:jc w:val="left"/>
              <w:rPr>
                <w:rFonts w:ascii="Aptos" w:hAnsi="Aptos"/>
                <w:sz w:val="24"/>
                <w:szCs w:val="24"/>
              </w:rPr>
            </w:pPr>
            <w:r w:rsidRPr="00664945">
              <w:rPr>
                <w:rFonts w:ascii="Aptos" w:hAnsi="Aptos"/>
                <w:sz w:val="24"/>
                <w:szCs w:val="24"/>
              </w:rPr>
              <w:t xml:space="preserve">Assessment tool name </w:t>
            </w:r>
          </w:p>
        </w:tc>
        <w:tc>
          <w:tcPr>
            <w:tcW w:w="2439" w:type="pct"/>
          </w:tcPr>
          <w:p w14:paraId="7E7F47C7" w14:textId="77777777" w:rsidR="001F2FF7" w:rsidRPr="00664945" w:rsidRDefault="001F2FF7" w:rsidP="001A1768">
            <w:pPr>
              <w:jc w:val="left"/>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Description </w:t>
            </w:r>
          </w:p>
        </w:tc>
        <w:tc>
          <w:tcPr>
            <w:tcW w:w="663" w:type="pct"/>
          </w:tcPr>
          <w:p w14:paraId="73F18EBB" w14:textId="77777777" w:rsidR="001F2FF7" w:rsidRPr="00664945" w:rsidRDefault="001F2FF7" w:rsidP="001A1768">
            <w:pPr>
              <w:jc w:val="left"/>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Agency</w:t>
            </w:r>
          </w:p>
        </w:tc>
        <w:tc>
          <w:tcPr>
            <w:tcW w:w="1239" w:type="pct"/>
          </w:tcPr>
          <w:p w14:paraId="14FD9C70" w14:textId="77777777" w:rsidR="001F2FF7" w:rsidRPr="00664945" w:rsidRDefault="001F2FF7" w:rsidP="001A1768">
            <w:pPr>
              <w:jc w:val="left"/>
              <w:cnfStyle w:val="100000000000" w:firstRow="1"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Further information (incl. template)</w:t>
            </w:r>
          </w:p>
        </w:tc>
      </w:tr>
      <w:tr w:rsidR="005B3A09" w:rsidRPr="00664945" w14:paraId="05F052A2"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737382C9" w14:textId="77777777" w:rsidR="005B3A09" w:rsidRPr="00664945" w:rsidRDefault="005B3A09" w:rsidP="005B3A09">
            <w:pPr>
              <w:jc w:val="left"/>
              <w:rPr>
                <w:rFonts w:ascii="Aptos" w:hAnsi="Aptos"/>
                <w:sz w:val="24"/>
                <w:szCs w:val="24"/>
              </w:rPr>
            </w:pPr>
            <w:r w:rsidRPr="00664945">
              <w:rPr>
                <w:rFonts w:ascii="Aptos" w:hAnsi="Aptos"/>
                <w:sz w:val="24"/>
                <w:szCs w:val="24"/>
              </w:rPr>
              <w:t>Adults with Incapacity (Guardianship Applications)</w:t>
            </w:r>
          </w:p>
          <w:p w14:paraId="316D4AFD" w14:textId="77777777" w:rsidR="005B3A09" w:rsidRPr="00664945" w:rsidRDefault="005B3A09" w:rsidP="001A1768">
            <w:pPr>
              <w:jc w:val="left"/>
              <w:rPr>
                <w:rFonts w:ascii="Aptos" w:hAnsi="Aptos"/>
                <w:sz w:val="24"/>
                <w:szCs w:val="24"/>
              </w:rPr>
            </w:pPr>
          </w:p>
        </w:tc>
        <w:tc>
          <w:tcPr>
            <w:tcW w:w="2439" w:type="pct"/>
          </w:tcPr>
          <w:p w14:paraId="48E28A07"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This tool aims to assist practitioners to consider the various elements involved in the decision-making process around guardianship applications. It could be used to gather evidence of an adult having or lacking capacity in relation to non-medical decisions and to consider whether a more formal, health capacity assessment is required </w:t>
            </w:r>
            <w:proofErr w:type="gramStart"/>
            <w:r w:rsidRPr="00664945">
              <w:rPr>
                <w:rFonts w:ascii="Aptos" w:hAnsi="Aptos"/>
                <w:sz w:val="24"/>
                <w:szCs w:val="24"/>
              </w:rPr>
              <w:t>in order to</w:t>
            </w:r>
            <w:proofErr w:type="gramEnd"/>
            <w:r w:rsidRPr="00664945">
              <w:rPr>
                <w:rFonts w:ascii="Aptos" w:hAnsi="Aptos"/>
                <w:sz w:val="24"/>
                <w:szCs w:val="24"/>
              </w:rPr>
              <w:t xml:space="preserve"> pursue measures under the Adult with Incapacity (Scotland) Act 2000. It is not suitable for medical decisions.</w:t>
            </w:r>
          </w:p>
          <w:p w14:paraId="35D5F846"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c>
          <w:tcPr>
            <w:tcW w:w="663" w:type="pct"/>
          </w:tcPr>
          <w:p w14:paraId="6CA26513"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2D0C8D54"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Health </w:t>
            </w:r>
          </w:p>
          <w:p w14:paraId="55969A11"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0DA1741E" w14:textId="77777777" w:rsidR="005B3A09" w:rsidRPr="00664945" w:rsidRDefault="005B3A09"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Interchange</w:t>
            </w:r>
          </w:p>
        </w:tc>
      </w:tr>
      <w:tr w:rsidR="001F2FF7" w:rsidRPr="00664945" w14:paraId="6EDFF47E"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6F9EB903" w14:textId="77777777" w:rsidR="001F2FF7" w:rsidRPr="00664945" w:rsidRDefault="001F2FF7" w:rsidP="001A1768">
            <w:pPr>
              <w:jc w:val="left"/>
              <w:rPr>
                <w:rFonts w:ascii="Aptos" w:hAnsi="Aptos"/>
                <w:sz w:val="24"/>
                <w:szCs w:val="24"/>
              </w:rPr>
            </w:pPr>
            <w:r w:rsidRPr="00664945">
              <w:rPr>
                <w:rFonts w:ascii="Aptos" w:hAnsi="Aptos"/>
                <w:sz w:val="24"/>
                <w:szCs w:val="24"/>
              </w:rPr>
              <w:t>Ages and Stages /Social and Emotional Questionnaire</w:t>
            </w:r>
          </w:p>
        </w:tc>
        <w:tc>
          <w:tcPr>
            <w:tcW w:w="2439" w:type="pct"/>
          </w:tcPr>
          <w:p w14:paraId="372C8FB7"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Ages and Stages Questionnaire is a routine screening tool used within Health with parents and carers by a professional who has been trained to use the tool. </w:t>
            </w:r>
          </w:p>
          <w:p w14:paraId="43924169"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 It is a simple checklist that helps health professionals understand how a child is developing physically, socially and emotionally, from moving and playing to talking and interacting. It is about recognising strengths and giving support if needed allowing the child to thrive.  This tool is usually used from 8-months old; however, it can be used at any age if there is a reason to check how your child is getting on.  </w:t>
            </w:r>
          </w:p>
        </w:tc>
        <w:tc>
          <w:tcPr>
            <w:tcW w:w="663" w:type="pct"/>
          </w:tcPr>
          <w:p w14:paraId="5CE4427E"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Health</w:t>
            </w:r>
          </w:p>
        </w:tc>
        <w:tc>
          <w:tcPr>
            <w:tcW w:w="1239" w:type="pct"/>
          </w:tcPr>
          <w:p w14:paraId="3BD7C473"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hyperlink r:id="rId17" w:history="1">
              <w:r w:rsidRPr="00664945">
                <w:rPr>
                  <w:rStyle w:val="Hyperlink"/>
                  <w:rFonts w:ascii="Aptos" w:hAnsi="Aptos" w:cstheme="minorHAnsi"/>
                  <w:b/>
                  <w:sz w:val="24"/>
                  <w:szCs w:val="24"/>
                </w:rPr>
                <w:t>Ages and Stages Questionnaire</w:t>
              </w:r>
            </w:hyperlink>
            <w:r w:rsidRPr="00664945">
              <w:rPr>
                <w:rFonts w:ascii="Aptos" w:hAnsi="Aptos" w:cstheme="minorHAnsi"/>
                <w:b/>
                <w:sz w:val="24"/>
                <w:szCs w:val="24"/>
                <w:u w:val="single"/>
              </w:rPr>
              <w:t xml:space="preserve"> </w:t>
            </w:r>
          </w:p>
          <w:p w14:paraId="5F984019"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1F2FF7" w:rsidRPr="00664945" w14:paraId="1DA3BEBE"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20B377D1" w14:textId="77777777" w:rsidR="001F2FF7" w:rsidRPr="00664945" w:rsidRDefault="001F2FF7" w:rsidP="001A1768">
            <w:pPr>
              <w:jc w:val="left"/>
              <w:rPr>
                <w:rFonts w:ascii="Aptos" w:hAnsi="Aptos" w:cs="Arial"/>
                <w:bCs w:val="0"/>
                <w:sz w:val="24"/>
                <w:szCs w:val="24"/>
              </w:rPr>
            </w:pPr>
            <w:r w:rsidRPr="00664945">
              <w:rPr>
                <w:rFonts w:ascii="Aptos" w:hAnsi="Aptos" w:cs="Arial"/>
                <w:bCs w:val="0"/>
                <w:sz w:val="24"/>
                <w:szCs w:val="24"/>
              </w:rPr>
              <w:lastRenderedPageBreak/>
              <w:t>AIMS (Assessment, Intervention, Moving On)</w:t>
            </w:r>
          </w:p>
        </w:tc>
        <w:tc>
          <w:tcPr>
            <w:tcW w:w="2439" w:type="pct"/>
          </w:tcPr>
          <w:p w14:paraId="20085216" w14:textId="77777777" w:rsidR="001F2FF7"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664945">
              <w:rPr>
                <w:rFonts w:ascii="Aptos" w:hAnsi="Aptos" w:cs="Arial"/>
                <w:sz w:val="24"/>
                <w:szCs w:val="24"/>
              </w:rPr>
              <w:t xml:space="preserve">Used when a child or young person presents with harmful sexual behaviour, AIMS is used to understand the reasons why children may display problematic/abusive sexual behaviours and helps practitioners develop a profile of the child, their family and context with a view to safety planning and interventions. </w:t>
            </w:r>
          </w:p>
          <w:p w14:paraId="7A41E291" w14:textId="77777777" w:rsidR="00664945" w:rsidRPr="00664945" w:rsidRDefault="00664945" w:rsidP="001A1768">
            <w:pPr>
              <w:jc w:val="left"/>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664945">
              <w:rPr>
                <w:rFonts w:ascii="Aptos" w:hAnsi="Aptos" w:cs="Arial"/>
                <w:sz w:val="24"/>
                <w:szCs w:val="24"/>
              </w:rPr>
              <w:t>This tool must only be used by practitioners trained to use it.</w:t>
            </w:r>
          </w:p>
        </w:tc>
        <w:tc>
          <w:tcPr>
            <w:tcW w:w="663" w:type="pct"/>
          </w:tcPr>
          <w:p w14:paraId="4C9DC6F1"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5BE5E58A" w14:textId="77777777" w:rsidR="001F2FF7" w:rsidRPr="00664945" w:rsidRDefault="004C2AD2"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Interchange </w:t>
            </w:r>
          </w:p>
        </w:tc>
      </w:tr>
      <w:tr w:rsidR="001F2FF7" w:rsidRPr="00664945" w14:paraId="4830A6C8"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2DD9502C" w14:textId="77777777" w:rsidR="001F2FF7" w:rsidRPr="00664945" w:rsidRDefault="001F2FF7" w:rsidP="001A1768">
            <w:pPr>
              <w:jc w:val="left"/>
              <w:rPr>
                <w:rFonts w:ascii="Aptos" w:hAnsi="Aptos"/>
                <w:sz w:val="24"/>
                <w:szCs w:val="24"/>
              </w:rPr>
            </w:pPr>
            <w:r w:rsidRPr="00664945">
              <w:rPr>
                <w:rFonts w:ascii="Aptos" w:hAnsi="Aptos"/>
                <w:sz w:val="24"/>
                <w:szCs w:val="24"/>
              </w:rPr>
              <w:t xml:space="preserve">CIRCLE Framework Emotionally Based School Avoidance (EBSA) and HWB Experiences &amp; Outcomes CIRCLE Participation Scale                                  </w:t>
            </w:r>
          </w:p>
        </w:tc>
        <w:tc>
          <w:tcPr>
            <w:tcW w:w="2439" w:type="pct"/>
          </w:tcPr>
          <w:p w14:paraId="04E576F6"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The Circle framework resource is an education-specific tool which allows Education practitioners to assess their school environment (Environmental Audit) and learners’ participation (Participation Scale) to improve the physical setting of the school and to put supports in place to encourage learners’ engagement with school. Strategies are provided which can be matched to the pupils’ learner profile – Primary/Secondary specific.</w:t>
            </w:r>
          </w:p>
          <w:p w14:paraId="72118013"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246B4866"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Overall, the resource aims to empower education staff to support all pupils, to promote inclusive practice and to encourage effective collaboration between school staff, parents/carers, partner services and other agencies. These resources strengthen a whole school approach to improving inclusive practice but can also be used by individual practitioners improving their classroom setting or their approach to supporting an individual learner. </w:t>
            </w:r>
          </w:p>
          <w:p w14:paraId="42C52F52"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21B53475"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Emotionally based school avoidance (EBSA) refers to reduced or non-attendance at school due to emotional, mental health, or well-being issues. The Moray Educational Psychology Service can provide support for children and young people experiencing EBSA, working with parents, carers, and school staff. EBSA is </w:t>
            </w:r>
            <w:r w:rsidRPr="00664945">
              <w:rPr>
                <w:rFonts w:ascii="Aptos" w:hAnsi="Aptos"/>
                <w:sz w:val="24"/>
                <w:szCs w:val="24"/>
              </w:rPr>
              <w:lastRenderedPageBreak/>
              <w:t xml:space="preserve">not a </w:t>
            </w:r>
            <w:proofErr w:type="gramStart"/>
            <w:r w:rsidRPr="00664945">
              <w:rPr>
                <w:rFonts w:ascii="Aptos" w:hAnsi="Aptos"/>
                <w:sz w:val="24"/>
                <w:szCs w:val="24"/>
              </w:rPr>
              <w:t>diagnosis</w:t>
            </w:r>
            <w:proofErr w:type="gramEnd"/>
            <w:r w:rsidRPr="00664945">
              <w:rPr>
                <w:rFonts w:ascii="Aptos" w:hAnsi="Aptos"/>
                <w:sz w:val="24"/>
                <w:szCs w:val="24"/>
              </w:rPr>
              <w:t xml:space="preserve"> but a term used to describe children and young people who struggle to attend school due to emotional or mental health needs.</w:t>
            </w:r>
          </w:p>
        </w:tc>
        <w:tc>
          <w:tcPr>
            <w:tcW w:w="663" w:type="pct"/>
          </w:tcPr>
          <w:p w14:paraId="3FAA33E9"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Education</w:t>
            </w:r>
          </w:p>
        </w:tc>
        <w:tc>
          <w:tcPr>
            <w:tcW w:w="1239" w:type="pct"/>
          </w:tcPr>
          <w:p w14:paraId="7F964F74"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Style w:val="Hyperlink"/>
                <w:rFonts w:ascii="Aptos" w:hAnsi="Aptos" w:cstheme="minorHAnsi"/>
                <w:b/>
                <w:sz w:val="24"/>
                <w:szCs w:val="24"/>
              </w:rPr>
            </w:pPr>
            <w:hyperlink r:id="rId18" w:history="1">
              <w:r w:rsidRPr="00664945">
                <w:rPr>
                  <w:rStyle w:val="Hyperlink"/>
                  <w:rFonts w:ascii="Aptos" w:hAnsi="Aptos" w:cstheme="minorHAnsi"/>
                  <w:b/>
                  <w:sz w:val="24"/>
                  <w:szCs w:val="24"/>
                </w:rPr>
                <w:t>CIRCLE resource to support Inclusive Learning and Collaborative Working (Secondary) | Resources | Education Scotland</w:t>
              </w:r>
            </w:hyperlink>
          </w:p>
          <w:p w14:paraId="4472FEDD"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Style w:val="Hyperlink"/>
                <w:rFonts w:ascii="Aptos" w:hAnsi="Aptos" w:cstheme="minorHAnsi"/>
                <w:sz w:val="24"/>
                <w:szCs w:val="24"/>
              </w:rPr>
            </w:pPr>
          </w:p>
          <w:p w14:paraId="0AA84984"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hyperlink r:id="rId19" w:history="1">
              <w:r w:rsidRPr="00664945">
                <w:rPr>
                  <w:rStyle w:val="Hyperlink"/>
                  <w:rFonts w:ascii="Aptos" w:hAnsi="Aptos" w:cstheme="minorHAnsi"/>
                  <w:b/>
                  <w:sz w:val="24"/>
                  <w:szCs w:val="24"/>
                </w:rPr>
                <w:t>https://www.thirdspace.scot/circle/education-resources/</w:t>
              </w:r>
            </w:hyperlink>
          </w:p>
          <w:p w14:paraId="75190FA3"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p>
          <w:p w14:paraId="5D79D361"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hyperlink r:id="rId20" w:history="1">
              <w:r w:rsidRPr="00664945">
                <w:rPr>
                  <w:rStyle w:val="Hyperlink"/>
                  <w:rFonts w:ascii="Aptos" w:hAnsi="Aptos" w:cstheme="minorHAnsi"/>
                  <w:b/>
                  <w:sz w:val="24"/>
                  <w:szCs w:val="24"/>
                </w:rPr>
                <w:t>Up-up-and-away-September-2019.pdf</w:t>
              </w:r>
            </w:hyperlink>
          </w:p>
          <w:p w14:paraId="25AF111F"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1F2FF7" w:rsidRPr="00664945" w14:paraId="79F98FEC"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0D7B1C4D" w14:textId="77777777" w:rsidR="001F2FF7" w:rsidRPr="00664945" w:rsidRDefault="001F2FF7" w:rsidP="001A1768">
            <w:pPr>
              <w:jc w:val="left"/>
              <w:rPr>
                <w:rFonts w:ascii="Aptos" w:hAnsi="Aptos" w:cs="Calibri"/>
                <w:sz w:val="24"/>
                <w:szCs w:val="24"/>
              </w:rPr>
            </w:pPr>
            <w:r w:rsidRPr="00664945">
              <w:rPr>
                <w:rFonts w:ascii="Aptos" w:hAnsi="Aptos" w:cs="Calibri"/>
                <w:sz w:val="24"/>
                <w:szCs w:val="24"/>
              </w:rPr>
              <w:t>Criminal Exploitation of Children Framework</w:t>
            </w:r>
          </w:p>
        </w:tc>
        <w:tc>
          <w:tcPr>
            <w:tcW w:w="2439" w:type="pct"/>
          </w:tcPr>
          <w:p w14:paraId="46F9810D"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r w:rsidRPr="00664945">
              <w:rPr>
                <w:rFonts w:ascii="Aptos" w:hAnsi="Aptos" w:cs="Calibri"/>
                <w:sz w:val="24"/>
                <w:szCs w:val="24"/>
              </w:rPr>
              <w:t xml:space="preserve">This framework is designed for multiagency practitioners who work with children up to 18 years old, or care-experienced young people up to the age of 26 years old. It serves as a resource to support practice when dealing with the criminal exploitation of children across all stages of the system. It emphasises the collective responsibility of everyone to safeguard children from harm and abuse. </w:t>
            </w:r>
          </w:p>
          <w:p w14:paraId="6CD8A9B6"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r w:rsidRPr="00664945">
              <w:rPr>
                <w:rFonts w:ascii="Aptos" w:hAnsi="Aptos" w:cs="Calibri"/>
                <w:sz w:val="24"/>
                <w:szCs w:val="24"/>
              </w:rPr>
              <w:t>It is used when there are worries that a child may be at risk of or experiencing criminal exploitation.</w:t>
            </w:r>
          </w:p>
          <w:p w14:paraId="4EF38ABA"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p>
        </w:tc>
        <w:tc>
          <w:tcPr>
            <w:tcW w:w="663" w:type="pct"/>
          </w:tcPr>
          <w:p w14:paraId="701DD2B7"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4329ABD1"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Health </w:t>
            </w:r>
          </w:p>
          <w:p w14:paraId="30B15C26"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Social Work</w:t>
            </w:r>
          </w:p>
          <w:p w14:paraId="1F28F4E0"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Police</w:t>
            </w:r>
          </w:p>
        </w:tc>
        <w:tc>
          <w:tcPr>
            <w:tcW w:w="1239" w:type="pct"/>
          </w:tcPr>
          <w:p w14:paraId="0146EB67"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b/>
                <w:sz w:val="24"/>
                <w:szCs w:val="24"/>
              </w:rPr>
            </w:pPr>
            <w:hyperlink r:id="rId21" w:history="1">
              <w:r w:rsidRPr="00664945">
                <w:rPr>
                  <w:rStyle w:val="Hyperlink"/>
                  <w:rFonts w:ascii="Aptos" w:hAnsi="Aptos" w:cs="Calibri"/>
                  <w:b/>
                  <w:sz w:val="24"/>
                  <w:szCs w:val="24"/>
                </w:rPr>
                <w:t>10.-Blank-Criminal_Exploitation_Screening_Tool_Updated_With_Health_Indicator-4.4.25.docx</w:t>
              </w:r>
            </w:hyperlink>
          </w:p>
          <w:p w14:paraId="18C18079"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b/>
                <w:sz w:val="24"/>
                <w:szCs w:val="24"/>
              </w:rPr>
            </w:pPr>
          </w:p>
          <w:p w14:paraId="526A6252"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b/>
                <w:sz w:val="24"/>
                <w:szCs w:val="24"/>
              </w:rPr>
            </w:pPr>
          </w:p>
          <w:p w14:paraId="564ACA41"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b/>
                <w:sz w:val="24"/>
                <w:szCs w:val="24"/>
              </w:rPr>
            </w:pPr>
            <w:hyperlink r:id="rId22" w:history="1">
              <w:r w:rsidRPr="00664945">
                <w:rPr>
                  <w:rStyle w:val="Hyperlink"/>
                  <w:rFonts w:ascii="Aptos" w:hAnsi="Aptos" w:cs="Calibri"/>
                  <w:b/>
                  <w:sz w:val="24"/>
                  <w:szCs w:val="24"/>
                </w:rPr>
                <w:t>Criminal Exploitation of Children (CEC) Framework for Practice - Children and Young People's Centre for Justice</w:t>
              </w:r>
            </w:hyperlink>
          </w:p>
          <w:p w14:paraId="0E3DF556"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p>
        </w:tc>
      </w:tr>
      <w:tr w:rsidR="001F2FF7" w:rsidRPr="00664945" w14:paraId="65239FCE"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76134CF6" w14:textId="77777777" w:rsidR="001F2FF7" w:rsidRPr="00664945" w:rsidRDefault="001F2FF7" w:rsidP="001A1768">
            <w:pPr>
              <w:jc w:val="left"/>
              <w:rPr>
                <w:rFonts w:ascii="Aptos" w:hAnsi="Aptos" w:cs="Arial"/>
                <w:b w:val="0"/>
                <w:sz w:val="24"/>
                <w:szCs w:val="24"/>
                <w:u w:val="single"/>
              </w:rPr>
            </w:pPr>
            <w:r w:rsidRPr="00664945">
              <w:rPr>
                <w:rFonts w:ascii="Aptos" w:hAnsi="Aptos" w:cs="Arial"/>
                <w:sz w:val="24"/>
                <w:szCs w:val="24"/>
                <w:u w:val="single"/>
              </w:rPr>
              <w:t xml:space="preserve">DASH RIC (Domestic Abuse, Stalking, Harassment and Honour-based abuse Risk Identification Checklist) </w:t>
            </w:r>
          </w:p>
          <w:p w14:paraId="5D7C7FDD" w14:textId="77777777" w:rsidR="001F2FF7" w:rsidRPr="00664945" w:rsidRDefault="001F2FF7" w:rsidP="001A1768">
            <w:pPr>
              <w:jc w:val="left"/>
              <w:rPr>
                <w:rFonts w:ascii="Aptos" w:hAnsi="Aptos"/>
                <w:sz w:val="24"/>
                <w:szCs w:val="24"/>
              </w:rPr>
            </w:pPr>
          </w:p>
        </w:tc>
        <w:tc>
          <w:tcPr>
            <w:tcW w:w="2439" w:type="pct"/>
          </w:tcPr>
          <w:p w14:paraId="0C421CED"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This is a tool that can be used by practitioners working with victim/survivors of domestic abuse and comprises of a checklist that can be used for all intimate partner relationships, including LGBTQ+ relationships, and for ‘honour’-based abuse and family violence.</w:t>
            </w:r>
          </w:p>
          <w:p w14:paraId="5F5C6931"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773C665F"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The D</w:t>
            </w:r>
            <w:r w:rsidR="00664945">
              <w:rPr>
                <w:rFonts w:ascii="Aptos" w:hAnsi="Aptos" w:cs="Arial"/>
                <w:sz w:val="24"/>
                <w:szCs w:val="24"/>
              </w:rPr>
              <w:t xml:space="preserve">ASH </w:t>
            </w:r>
            <w:r w:rsidRPr="00664945">
              <w:rPr>
                <w:rFonts w:ascii="Aptos" w:hAnsi="Aptos" w:cs="Arial"/>
                <w:sz w:val="24"/>
                <w:szCs w:val="24"/>
              </w:rPr>
              <w:t>risk checklist is designed to identify risk to an adult victim of domestic abuse to determine is their case should be referred to the multiagency risk assessment conference (MARAC) for further support.</w:t>
            </w:r>
          </w:p>
          <w:p w14:paraId="63304817"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p>
          <w:p w14:paraId="4E4A84AE"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However, </w:t>
            </w:r>
            <w:hyperlink r:id="rId23" w:history="1">
              <w:r w:rsidRPr="00664945">
                <w:rPr>
                  <w:rStyle w:val="Hyperlink"/>
                  <w:rFonts w:ascii="Aptos" w:hAnsi="Aptos" w:cs="Arial"/>
                  <w:sz w:val="24"/>
                  <w:szCs w:val="24"/>
                </w:rPr>
                <w:t>children who witness domestic abuse</w:t>
              </w:r>
            </w:hyperlink>
            <w:r w:rsidRPr="00664945">
              <w:rPr>
                <w:rFonts w:ascii="Aptos" w:hAnsi="Aptos" w:cs="Arial"/>
                <w:sz w:val="24"/>
                <w:szCs w:val="24"/>
              </w:rPr>
              <w:t xml:space="preserve"> are considered victims in their own right. While the Dash checklist isn’t designed as a risk assessment tool for children, it is very likely to identify children who are at high risk of harm and who should </w:t>
            </w:r>
            <w:r w:rsidRPr="00664945">
              <w:rPr>
                <w:rFonts w:ascii="Aptos" w:hAnsi="Aptos" w:cs="Arial"/>
                <w:sz w:val="24"/>
                <w:szCs w:val="24"/>
              </w:rPr>
              <w:lastRenderedPageBreak/>
              <w:t>receive additional support. Practitioners who are aware that there are children in the household must make a safeguarding referral.</w:t>
            </w:r>
          </w:p>
          <w:p w14:paraId="1BD0D763"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p>
          <w:p w14:paraId="35E3B214"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There is a DASH RIC checklist for young people who are being harmed within a relationship.</w:t>
            </w:r>
          </w:p>
        </w:tc>
        <w:tc>
          <w:tcPr>
            <w:tcW w:w="663" w:type="pct"/>
          </w:tcPr>
          <w:p w14:paraId="7B337D2F"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Health</w:t>
            </w:r>
          </w:p>
        </w:tc>
        <w:tc>
          <w:tcPr>
            <w:tcW w:w="1239" w:type="pct"/>
          </w:tcPr>
          <w:p w14:paraId="01565EB4"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hyperlink r:id="rId24" w:history="1">
              <w:r w:rsidRPr="00664945">
                <w:rPr>
                  <w:rStyle w:val="Hyperlink"/>
                  <w:rFonts w:ascii="Aptos" w:hAnsi="Aptos" w:cs="Arial"/>
                  <w:b/>
                  <w:sz w:val="24"/>
                  <w:szCs w:val="24"/>
                </w:rPr>
                <w:t xml:space="preserve">Dash risk assessment resources for professionals - </w:t>
              </w:r>
              <w:proofErr w:type="spellStart"/>
              <w:r w:rsidRPr="00664945">
                <w:rPr>
                  <w:rStyle w:val="Hyperlink"/>
                  <w:rFonts w:ascii="Aptos" w:hAnsi="Aptos" w:cs="Arial"/>
                  <w:b/>
                  <w:sz w:val="24"/>
                  <w:szCs w:val="24"/>
                </w:rPr>
                <w:t>SafeLives</w:t>
              </w:r>
              <w:proofErr w:type="spellEnd"/>
            </w:hyperlink>
          </w:p>
          <w:p w14:paraId="697BBEC9"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p>
          <w:p w14:paraId="4B5302FB"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hyperlink r:id="rId25" w:history="1">
              <w:r w:rsidRPr="00664945">
                <w:rPr>
                  <w:rStyle w:val="Hyperlink"/>
                  <w:rFonts w:ascii="Aptos" w:hAnsi="Aptos" w:cs="Arial"/>
                  <w:b/>
                  <w:sz w:val="24"/>
                  <w:szCs w:val="24"/>
                </w:rPr>
                <w:t xml:space="preserve">Dash risk checklist: young people - </w:t>
              </w:r>
              <w:proofErr w:type="spellStart"/>
              <w:r w:rsidRPr="00664945">
                <w:rPr>
                  <w:rStyle w:val="Hyperlink"/>
                  <w:rFonts w:ascii="Aptos" w:hAnsi="Aptos" w:cs="Arial"/>
                  <w:b/>
                  <w:sz w:val="24"/>
                  <w:szCs w:val="24"/>
                </w:rPr>
                <w:t>SafeLives</w:t>
              </w:r>
              <w:proofErr w:type="spellEnd"/>
            </w:hyperlink>
          </w:p>
          <w:p w14:paraId="4AA633F2"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1F2FF7" w:rsidRPr="00664945" w14:paraId="1246268C"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22B69A53" w14:textId="77777777" w:rsidR="001F2FF7" w:rsidRPr="00664945" w:rsidRDefault="001F2FF7" w:rsidP="001A1768">
            <w:pPr>
              <w:jc w:val="left"/>
              <w:rPr>
                <w:rFonts w:ascii="Aptos" w:hAnsi="Aptos"/>
                <w:sz w:val="24"/>
                <w:szCs w:val="24"/>
              </w:rPr>
            </w:pPr>
            <w:r w:rsidRPr="00664945">
              <w:rPr>
                <w:rFonts w:ascii="Aptos" w:hAnsi="Aptos"/>
                <w:sz w:val="24"/>
                <w:szCs w:val="24"/>
              </w:rPr>
              <w:t>Discrepancy Matrix</w:t>
            </w:r>
          </w:p>
        </w:tc>
        <w:tc>
          <w:tcPr>
            <w:tcW w:w="2439" w:type="pct"/>
          </w:tcPr>
          <w:p w14:paraId="524B18A0"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664945">
              <w:rPr>
                <w:rFonts w:ascii="Aptos" w:hAnsi="Aptos" w:cstheme="minorHAnsi"/>
                <w:sz w:val="24"/>
                <w:szCs w:val="24"/>
              </w:rPr>
              <w:t xml:space="preserve">The Discrepancy Matrix is a multiagency tool that can be used either case specific or within supervision to help us understand how much we really know about a child’s situation. It helps the practitioner </w:t>
            </w:r>
            <w:r w:rsidR="00664945">
              <w:rPr>
                <w:rFonts w:ascii="Aptos" w:hAnsi="Aptos" w:cstheme="minorHAnsi"/>
                <w:sz w:val="24"/>
                <w:szCs w:val="24"/>
              </w:rPr>
              <w:t>explore</w:t>
            </w:r>
            <w:r w:rsidRPr="00664945">
              <w:rPr>
                <w:rFonts w:ascii="Aptos" w:hAnsi="Aptos" w:cstheme="minorHAnsi"/>
                <w:sz w:val="24"/>
                <w:szCs w:val="24"/>
              </w:rPr>
              <w:t xml:space="preserve"> what they know for sure, what they are unsure about, what might be based on guesses and what they still need to find out so we they can make the best decisions to support a child’s health, safety and wellbeing. Professionals use this tool when extra supports are required.   </w:t>
            </w:r>
          </w:p>
          <w:p w14:paraId="25FC8DFD"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c>
          <w:tcPr>
            <w:tcW w:w="663" w:type="pct"/>
          </w:tcPr>
          <w:p w14:paraId="64DFF0E9"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7E29F7DA"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Health </w:t>
            </w:r>
          </w:p>
          <w:p w14:paraId="2B1664E7"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1529AB64"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26" w:history="1">
              <w:r w:rsidRPr="00664945">
                <w:rPr>
                  <w:rStyle w:val="Hyperlink"/>
                  <w:rFonts w:ascii="Aptos" w:hAnsi="Aptos" w:cstheme="minorHAnsi"/>
                  <w:b/>
                  <w:sz w:val="24"/>
                  <w:szCs w:val="24"/>
                </w:rPr>
                <w:t>Discrepancy Matrix</w:t>
              </w:r>
            </w:hyperlink>
          </w:p>
          <w:p w14:paraId="7AA0DB04"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p w14:paraId="07FF116E"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27" w:history="1">
              <w:r w:rsidRPr="00664945">
                <w:rPr>
                  <w:rStyle w:val="Hyperlink"/>
                  <w:rFonts w:ascii="Aptos" w:hAnsi="Aptos" w:cstheme="minorHAnsi"/>
                  <w:b/>
                  <w:sz w:val="24"/>
                  <w:szCs w:val="24"/>
                </w:rPr>
                <w:t>Wonnacott’s Discrepancy Matrix | Research in Practice</w:t>
              </w:r>
            </w:hyperlink>
          </w:p>
          <w:p w14:paraId="5F4C6EDE"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1F2FF7" w:rsidRPr="00664945" w14:paraId="7310E791"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284191EB" w14:textId="77777777" w:rsidR="001F2FF7" w:rsidRPr="00664945" w:rsidRDefault="001F2FF7" w:rsidP="001A1768">
            <w:pPr>
              <w:jc w:val="left"/>
              <w:rPr>
                <w:rFonts w:ascii="Aptos" w:hAnsi="Aptos"/>
                <w:sz w:val="24"/>
                <w:szCs w:val="24"/>
              </w:rPr>
            </w:pPr>
            <w:r w:rsidRPr="00664945">
              <w:rPr>
                <w:rFonts w:ascii="Aptos" w:hAnsi="Aptos"/>
                <w:sz w:val="24"/>
                <w:szCs w:val="24"/>
              </w:rPr>
              <w:t>Early entry assessment</w:t>
            </w:r>
          </w:p>
        </w:tc>
        <w:tc>
          <w:tcPr>
            <w:tcW w:w="2439" w:type="pct"/>
          </w:tcPr>
          <w:p w14:paraId="76879BAA"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This is a tool used by the Early Years team to evaluate whether a child can start school earlier than standard timescales indicated by their date of birth. It is used when a parent or carer requests their child be considered for starting mainstream education earlier that the standard entrance for their age.</w:t>
            </w:r>
          </w:p>
        </w:tc>
        <w:tc>
          <w:tcPr>
            <w:tcW w:w="663" w:type="pct"/>
          </w:tcPr>
          <w:p w14:paraId="4B6BCAE8"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Education</w:t>
            </w:r>
          </w:p>
        </w:tc>
        <w:tc>
          <w:tcPr>
            <w:tcW w:w="1239" w:type="pct"/>
          </w:tcPr>
          <w:p w14:paraId="015413C1"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664945">
              <w:rPr>
                <w:rFonts w:ascii="Aptos" w:hAnsi="Aptos" w:cs="Arial"/>
                <w:sz w:val="24"/>
                <w:szCs w:val="24"/>
              </w:rPr>
              <w:t xml:space="preserve">Contact </w:t>
            </w:r>
            <w:hyperlink r:id="rId28" w:history="1">
              <w:r w:rsidRPr="00664945">
                <w:rPr>
                  <w:rStyle w:val="Hyperlink"/>
                  <w:rFonts w:ascii="Aptos" w:hAnsi="Aptos" w:cs="Arial"/>
                  <w:sz w:val="24"/>
                  <w:szCs w:val="24"/>
                </w:rPr>
                <w:t>ELCAdmin@moray.gov.uk</w:t>
              </w:r>
            </w:hyperlink>
            <w:r w:rsidRPr="00664945">
              <w:rPr>
                <w:rFonts w:ascii="Aptos" w:hAnsi="Aptos" w:cs="Arial"/>
                <w:sz w:val="24"/>
                <w:szCs w:val="24"/>
              </w:rPr>
              <w:t xml:space="preserve"> to secure resource to provide the assessment.</w:t>
            </w:r>
          </w:p>
          <w:p w14:paraId="1186950E"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1F2FF7" w:rsidRPr="00664945" w14:paraId="00EC7BE2"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6A9094D4" w14:textId="77777777" w:rsidR="001F2FF7" w:rsidRPr="00664945" w:rsidRDefault="001F2FF7" w:rsidP="001A1768">
            <w:pPr>
              <w:jc w:val="left"/>
              <w:rPr>
                <w:rFonts w:ascii="Aptos" w:hAnsi="Aptos"/>
                <w:sz w:val="24"/>
                <w:szCs w:val="24"/>
              </w:rPr>
            </w:pPr>
            <w:r w:rsidRPr="00664945">
              <w:rPr>
                <w:rFonts w:ascii="Aptos" w:hAnsi="Aptos"/>
                <w:sz w:val="24"/>
                <w:szCs w:val="24"/>
              </w:rPr>
              <w:t>Ecomap</w:t>
            </w:r>
          </w:p>
        </w:tc>
        <w:tc>
          <w:tcPr>
            <w:tcW w:w="2439" w:type="pct"/>
          </w:tcPr>
          <w:p w14:paraId="47AA87DE"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The ecomap is a multiagency tool used to gather in depth information regarding the significant relationships a child has with other people, organisations and activities. The practitioner and the family collaboratively map out the key connections between the child, the family and their ecological environment. Identifying theses links clarifies and organises information displaying familial dynamics; raising issues about the character and reciprocity of relationships, and access to or absence of available resources.</w:t>
            </w:r>
          </w:p>
        </w:tc>
        <w:tc>
          <w:tcPr>
            <w:tcW w:w="663" w:type="pct"/>
          </w:tcPr>
          <w:p w14:paraId="742B3D57"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39DD2FD0"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7580061E"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4B7798A5"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29" w:history="1">
              <w:r w:rsidRPr="00664945">
                <w:rPr>
                  <w:rStyle w:val="Hyperlink"/>
                  <w:rFonts w:ascii="Aptos" w:hAnsi="Aptos" w:cstheme="minorHAnsi"/>
                  <w:b/>
                  <w:sz w:val="24"/>
                  <w:szCs w:val="24"/>
                </w:rPr>
                <w:t xml:space="preserve">THE ECOMAP - National Risk Framework to Support the Assessment of Children and Young People - </w:t>
              </w:r>
              <w:proofErr w:type="spellStart"/>
              <w:proofErr w:type="gramStart"/>
              <w:r w:rsidRPr="00664945">
                <w:rPr>
                  <w:rStyle w:val="Hyperlink"/>
                  <w:rFonts w:ascii="Aptos" w:hAnsi="Aptos" w:cstheme="minorHAnsi"/>
                  <w:b/>
                  <w:sz w:val="24"/>
                  <w:szCs w:val="24"/>
                </w:rPr>
                <w:t>gov.scot</w:t>
              </w:r>
              <w:proofErr w:type="spellEnd"/>
              <w:proofErr w:type="gramEnd"/>
            </w:hyperlink>
          </w:p>
          <w:p w14:paraId="4627D393"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1F2FF7" w:rsidRPr="00664945" w14:paraId="47DBE250"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0B59398A" w14:textId="77777777" w:rsidR="001F2FF7" w:rsidRPr="00664945" w:rsidRDefault="001F2FF7" w:rsidP="001A1768">
            <w:pPr>
              <w:jc w:val="left"/>
              <w:rPr>
                <w:rFonts w:ascii="Aptos" w:hAnsi="Aptos"/>
                <w:sz w:val="24"/>
                <w:szCs w:val="24"/>
              </w:rPr>
            </w:pPr>
            <w:r w:rsidRPr="00664945">
              <w:rPr>
                <w:rFonts w:ascii="Aptos" w:hAnsi="Aptos"/>
                <w:sz w:val="24"/>
                <w:szCs w:val="24"/>
              </w:rPr>
              <w:lastRenderedPageBreak/>
              <w:t>Genogram</w:t>
            </w:r>
          </w:p>
        </w:tc>
        <w:tc>
          <w:tcPr>
            <w:tcW w:w="2439" w:type="pct"/>
          </w:tcPr>
          <w:p w14:paraId="79010B98"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A Genogram is a multiagency tool that can be used at any time to gather in depth information regarding a child and their ‘family’ relationships.  It is a visual tool to help display a person’s family network and relationships that goes beyond a traditional family tree. It provides opportunity for practitioners and service users to obtain better grasp of family make up or context as well as the varying dynamics around the character and strength of some of these relationships. It can also be used to identify trends or patterns in behaviour – inter and intra generationally - and to recognise familial tendencies.</w:t>
            </w:r>
          </w:p>
        </w:tc>
        <w:tc>
          <w:tcPr>
            <w:tcW w:w="663" w:type="pct"/>
          </w:tcPr>
          <w:p w14:paraId="3826AEDB"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cs="Arial"/>
                <w:bCs/>
                <w:sz w:val="24"/>
                <w:szCs w:val="24"/>
              </w:rPr>
            </w:pPr>
            <w:r w:rsidRPr="00664945">
              <w:rPr>
                <w:rFonts w:ascii="Aptos" w:hAnsi="Aptos" w:cs="Arial"/>
                <w:bCs/>
                <w:sz w:val="24"/>
                <w:szCs w:val="24"/>
              </w:rPr>
              <w:t>Education</w:t>
            </w:r>
          </w:p>
          <w:p w14:paraId="3F0EE7B1"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cs="Arial"/>
                <w:bCs/>
                <w:sz w:val="24"/>
                <w:szCs w:val="24"/>
              </w:rPr>
            </w:pPr>
            <w:r w:rsidRPr="00664945">
              <w:rPr>
                <w:rFonts w:ascii="Aptos" w:hAnsi="Aptos" w:cs="Arial"/>
                <w:bCs/>
                <w:sz w:val="24"/>
                <w:szCs w:val="24"/>
              </w:rPr>
              <w:t>Health</w:t>
            </w:r>
          </w:p>
          <w:p w14:paraId="39DB4CDD"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r w:rsidRPr="00664945">
              <w:rPr>
                <w:rFonts w:ascii="Aptos" w:hAnsi="Aptos" w:cs="Arial"/>
                <w:bCs/>
                <w:sz w:val="24"/>
                <w:szCs w:val="24"/>
              </w:rPr>
              <w:t>Social Work</w:t>
            </w:r>
          </w:p>
        </w:tc>
        <w:tc>
          <w:tcPr>
            <w:tcW w:w="1239" w:type="pct"/>
          </w:tcPr>
          <w:p w14:paraId="2D2092C7"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r w:rsidRPr="00664945">
              <w:rPr>
                <w:rFonts w:ascii="Aptos" w:hAnsi="Aptos" w:cs="Arial"/>
                <w:b/>
                <w:sz w:val="24"/>
                <w:szCs w:val="24"/>
              </w:rPr>
              <w:t xml:space="preserve"> </w:t>
            </w:r>
            <w:r w:rsidRPr="00664945">
              <w:rPr>
                <w:rFonts w:ascii="Aptos" w:hAnsi="Aptos" w:cstheme="minorHAnsi"/>
                <w:b/>
                <w:sz w:val="24"/>
                <w:szCs w:val="24"/>
              </w:rPr>
              <w:t xml:space="preserve">   </w:t>
            </w:r>
            <w:hyperlink r:id="rId30" w:history="1">
              <w:r w:rsidRPr="00664945">
                <w:rPr>
                  <w:rStyle w:val="Hyperlink"/>
                  <w:rFonts w:ascii="Aptos" w:hAnsi="Aptos" w:cstheme="minorHAnsi"/>
                  <w:b/>
                  <w:sz w:val="24"/>
                  <w:szCs w:val="24"/>
                </w:rPr>
                <w:t>www.gov.scot.doc</w:t>
              </w:r>
            </w:hyperlink>
          </w:p>
          <w:p w14:paraId="55ABA3A0"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r w:rsidRPr="00664945">
              <w:rPr>
                <w:rFonts w:ascii="Aptos" w:hAnsi="Aptos" w:cs="Arial"/>
                <w:b/>
                <w:sz w:val="24"/>
                <w:szCs w:val="24"/>
              </w:rPr>
              <w:t xml:space="preserve">  </w:t>
            </w:r>
          </w:p>
          <w:p w14:paraId="34B107F8"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p>
          <w:p w14:paraId="068B7C94"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p>
          <w:p w14:paraId="3036F82F"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cs="Arial"/>
                <w:b/>
                <w:sz w:val="24"/>
                <w:szCs w:val="24"/>
              </w:rPr>
              <w:object w:dxaOrig="3901" w:dyaOrig="831" w14:anchorId="165C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41.5pt" o:ole="">
                  <v:imagedata r:id="rId31" o:title=""/>
                </v:shape>
                <o:OLEObject Type="Embed" ProgID="Package" ShapeID="_x0000_i1025" DrawAspect="Content" ObjectID="_1843393330" r:id="rId32"/>
              </w:object>
            </w:r>
          </w:p>
        </w:tc>
      </w:tr>
      <w:tr w:rsidR="001F2FF7" w:rsidRPr="00664945" w14:paraId="7A4B56E5" w14:textId="77777777" w:rsidTr="00F00319">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59" w:type="pct"/>
          </w:tcPr>
          <w:p w14:paraId="5985FC97" w14:textId="77777777" w:rsidR="001F2FF7" w:rsidRPr="00664945" w:rsidRDefault="001F2FF7" w:rsidP="001A1768">
            <w:pPr>
              <w:jc w:val="left"/>
              <w:rPr>
                <w:rFonts w:ascii="Aptos" w:hAnsi="Aptos"/>
                <w:sz w:val="24"/>
                <w:szCs w:val="24"/>
              </w:rPr>
            </w:pPr>
            <w:r w:rsidRPr="00664945">
              <w:rPr>
                <w:rFonts w:ascii="Aptos" w:hAnsi="Aptos"/>
                <w:sz w:val="24"/>
                <w:szCs w:val="24"/>
              </w:rPr>
              <w:t>Glasgow Motivational and Wellbeing Profile</w:t>
            </w:r>
          </w:p>
        </w:tc>
        <w:tc>
          <w:tcPr>
            <w:tcW w:w="2439" w:type="pct"/>
          </w:tcPr>
          <w:p w14:paraId="04380B6B"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4"/>
                <w:szCs w:val="24"/>
              </w:rPr>
            </w:pPr>
            <w:r w:rsidRPr="00664945">
              <w:rPr>
                <w:rFonts w:ascii="Aptos" w:hAnsi="Aptos" w:cstheme="minorHAnsi"/>
                <w:color w:val="000000" w:themeColor="text1"/>
                <w:sz w:val="24"/>
                <w:szCs w:val="24"/>
              </w:rPr>
              <w:t>This is a universal questionnaire within Education that explores motivation and sense of wellbeing within a learning context. Children and young people are asked to give views of themselves and their emotions. The tool supports children and young people to reflect on their feelings and experiences and consider how they can increase their own determination, motivation and sense of wellbeing.</w:t>
            </w:r>
          </w:p>
          <w:p w14:paraId="751AC42F"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4"/>
                <w:szCs w:val="24"/>
              </w:rPr>
            </w:pPr>
            <w:r w:rsidRPr="00664945">
              <w:rPr>
                <w:rFonts w:ascii="Aptos" w:hAnsi="Aptos" w:cstheme="minorHAnsi"/>
                <w:color w:val="000000" w:themeColor="text1"/>
                <w:sz w:val="24"/>
                <w:szCs w:val="24"/>
              </w:rPr>
              <w:t xml:space="preserve">This is based on wellbeing indicators which have been grouped into four areas e.g. agency, affiliation etc This is an excellent and </w:t>
            </w:r>
            <w:proofErr w:type="gramStart"/>
            <w:r w:rsidRPr="00664945">
              <w:rPr>
                <w:rFonts w:ascii="Aptos" w:hAnsi="Aptos" w:cstheme="minorHAnsi"/>
                <w:color w:val="000000" w:themeColor="text1"/>
                <w:sz w:val="24"/>
                <w:szCs w:val="24"/>
              </w:rPr>
              <w:t>really easy</w:t>
            </w:r>
            <w:proofErr w:type="gramEnd"/>
            <w:r w:rsidRPr="00664945">
              <w:rPr>
                <w:rFonts w:ascii="Aptos" w:hAnsi="Aptos" w:cstheme="minorHAnsi"/>
                <w:color w:val="000000" w:themeColor="text1"/>
                <w:sz w:val="24"/>
                <w:szCs w:val="24"/>
              </w:rPr>
              <w:t xml:space="preserve"> to use tool.  It should be used twice a </w:t>
            </w:r>
            <w:proofErr w:type="gramStart"/>
            <w:r w:rsidRPr="00664945">
              <w:rPr>
                <w:rFonts w:ascii="Aptos" w:hAnsi="Aptos" w:cstheme="minorHAnsi"/>
                <w:color w:val="000000" w:themeColor="text1"/>
                <w:sz w:val="24"/>
                <w:szCs w:val="24"/>
              </w:rPr>
              <w:t>year</w:t>
            </w:r>
            <w:proofErr w:type="gramEnd"/>
            <w:r w:rsidRPr="00664945">
              <w:rPr>
                <w:rFonts w:ascii="Aptos" w:hAnsi="Aptos" w:cstheme="minorHAnsi"/>
                <w:color w:val="000000" w:themeColor="text1"/>
                <w:sz w:val="24"/>
                <w:szCs w:val="24"/>
              </w:rPr>
              <w:t xml:space="preserve"> and the master allows change to automatically be calculated and viewed in a variety of formats e.g. charts, graphs.  It allows data to be analysed individually, as a class, year group. </w:t>
            </w:r>
          </w:p>
          <w:p w14:paraId="1EE547BF"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p>
        </w:tc>
        <w:tc>
          <w:tcPr>
            <w:tcW w:w="663" w:type="pct"/>
          </w:tcPr>
          <w:p w14:paraId="5CFE29D9"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tc>
        <w:tc>
          <w:tcPr>
            <w:tcW w:w="1239" w:type="pct"/>
          </w:tcPr>
          <w:p w14:paraId="1D986444"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hyperlink r:id="rId33" w:history="1">
              <w:r w:rsidRPr="00664945">
                <w:rPr>
                  <w:rStyle w:val="Hyperlink"/>
                  <w:rFonts w:ascii="Aptos" w:hAnsi="Aptos" w:cstheme="minorHAnsi"/>
                  <w:b/>
                  <w:sz w:val="24"/>
                  <w:szCs w:val="24"/>
                </w:rPr>
                <w:t>Glasgow Motivation and Wellbeing Profile (GMWP) | Resources | Education Scotland</w:t>
              </w:r>
            </w:hyperlink>
          </w:p>
        </w:tc>
      </w:tr>
      <w:tr w:rsidR="001F2FF7" w:rsidRPr="00664945" w14:paraId="24493B4C" w14:textId="77777777" w:rsidTr="00F00319">
        <w:trPr>
          <w:trHeight w:val="276"/>
        </w:trPr>
        <w:tc>
          <w:tcPr>
            <w:cnfStyle w:val="001000000000" w:firstRow="0" w:lastRow="0" w:firstColumn="1" w:lastColumn="0" w:oddVBand="0" w:evenVBand="0" w:oddHBand="0" w:evenHBand="0" w:firstRowFirstColumn="0" w:firstRowLastColumn="0" w:lastRowFirstColumn="0" w:lastRowLastColumn="0"/>
            <w:tcW w:w="659" w:type="pct"/>
          </w:tcPr>
          <w:p w14:paraId="3751995C" w14:textId="77777777" w:rsidR="001F2FF7" w:rsidRPr="00664945" w:rsidRDefault="001F2FF7" w:rsidP="001A1768">
            <w:pPr>
              <w:jc w:val="left"/>
              <w:rPr>
                <w:rFonts w:ascii="Aptos" w:hAnsi="Aptos"/>
                <w:sz w:val="24"/>
                <w:szCs w:val="24"/>
              </w:rPr>
            </w:pPr>
            <w:r w:rsidRPr="00664945">
              <w:rPr>
                <w:rFonts w:ascii="Aptos" w:hAnsi="Aptos"/>
                <w:sz w:val="24"/>
                <w:szCs w:val="24"/>
              </w:rPr>
              <w:t>Graded Care Profile 2</w:t>
            </w:r>
          </w:p>
        </w:tc>
        <w:tc>
          <w:tcPr>
            <w:tcW w:w="2439" w:type="pct"/>
          </w:tcPr>
          <w:p w14:paraId="5075362A"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4"/>
                <w:szCs w:val="24"/>
              </w:rPr>
            </w:pPr>
            <w:r w:rsidRPr="00664945">
              <w:rPr>
                <w:rFonts w:ascii="Aptos" w:hAnsi="Aptos" w:cstheme="minorHAnsi"/>
                <w:color w:val="000000" w:themeColor="text1"/>
                <w:sz w:val="24"/>
                <w:szCs w:val="24"/>
              </w:rPr>
              <w:t xml:space="preserve">This assessment tool is used when neglect is known or suspected to feature, including to support referrals to agencies. </w:t>
            </w:r>
            <w:r w:rsidR="00664945" w:rsidRPr="00664945">
              <w:rPr>
                <w:rFonts w:ascii="Aptos" w:hAnsi="Aptos" w:cstheme="minorHAnsi"/>
                <w:color w:val="000000" w:themeColor="text1"/>
                <w:sz w:val="24"/>
                <w:szCs w:val="24"/>
              </w:rPr>
              <w:t xml:space="preserve">This tool must only be used by practitioners trained to use it. </w:t>
            </w:r>
            <w:r w:rsidRPr="00664945">
              <w:rPr>
                <w:rFonts w:ascii="Aptos" w:hAnsi="Aptos" w:cstheme="minorHAnsi"/>
                <w:color w:val="000000" w:themeColor="text1"/>
                <w:sz w:val="24"/>
                <w:szCs w:val="24"/>
              </w:rPr>
              <w:t xml:space="preserve">It is designed to provide an objective measure of the care of children. The GCP model is primarily based on the qualitative </w:t>
            </w:r>
            <w:r w:rsidRPr="00664945">
              <w:rPr>
                <w:rFonts w:ascii="Aptos" w:hAnsi="Aptos" w:cstheme="minorHAnsi"/>
                <w:color w:val="000000" w:themeColor="text1"/>
                <w:sz w:val="24"/>
                <w:szCs w:val="24"/>
              </w:rPr>
              <w:lastRenderedPageBreak/>
              <w:t>measure of the commitment shown by parents or carers in meeting their children’s developmental needs.</w:t>
            </w:r>
          </w:p>
          <w:p w14:paraId="3BABB7A2"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4"/>
                <w:szCs w:val="24"/>
              </w:rPr>
            </w:pPr>
          </w:p>
          <w:p w14:paraId="45B09B8A"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4"/>
                <w:szCs w:val="24"/>
              </w:rPr>
            </w:pPr>
            <w:r w:rsidRPr="00664945">
              <w:rPr>
                <w:rFonts w:ascii="Aptos" w:hAnsi="Aptos" w:cstheme="minorHAnsi"/>
                <w:color w:val="000000" w:themeColor="text1"/>
                <w:sz w:val="24"/>
                <w:szCs w:val="24"/>
              </w:rPr>
              <w:t xml:space="preserve">The GPC2 measures the quality of care delivered to an individual child over a short window of time (representative of the current level of care) and scales it between 1 (best) and 5 (worst). </w:t>
            </w:r>
          </w:p>
        </w:tc>
        <w:tc>
          <w:tcPr>
            <w:tcW w:w="663" w:type="pct"/>
          </w:tcPr>
          <w:p w14:paraId="234BE73C"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Education</w:t>
            </w:r>
          </w:p>
          <w:p w14:paraId="31F2A411"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448CEDA7" w14:textId="77777777" w:rsidR="001F2FF7" w:rsidRPr="00664945" w:rsidRDefault="001F2FF7" w:rsidP="001F2FF7">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6D85F276"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hyperlink r:id="rId34" w:history="1">
              <w:r w:rsidRPr="00664945">
                <w:rPr>
                  <w:rStyle w:val="Hyperlink"/>
                  <w:rFonts w:ascii="Aptos" w:hAnsi="Aptos"/>
                  <w:sz w:val="24"/>
                  <w:szCs w:val="24"/>
                </w:rPr>
                <w:t>Graded Care Profile 2 (GCP2) | NSPCC Learning</w:t>
              </w:r>
            </w:hyperlink>
          </w:p>
          <w:p w14:paraId="46B38E0E"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715D8C38"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The handbook and the assessment templates are available on internal websites. </w:t>
            </w:r>
          </w:p>
          <w:p w14:paraId="2CD93815" w14:textId="77777777" w:rsidR="001F2FF7" w:rsidRPr="00664945" w:rsidRDefault="001F2FF7" w:rsidP="001A1768">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1F2FF7" w:rsidRPr="00664945" w14:paraId="2AF226E8"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287498E5" w14:textId="77777777" w:rsidR="001F2FF7" w:rsidRPr="00664945" w:rsidRDefault="001F2FF7" w:rsidP="001A1768">
            <w:pPr>
              <w:jc w:val="left"/>
              <w:rPr>
                <w:rFonts w:ascii="Aptos" w:hAnsi="Aptos"/>
                <w:sz w:val="24"/>
                <w:szCs w:val="24"/>
              </w:rPr>
            </w:pPr>
            <w:r w:rsidRPr="00664945">
              <w:rPr>
                <w:rFonts w:ascii="Aptos" w:hAnsi="Aptos"/>
                <w:sz w:val="24"/>
                <w:szCs w:val="24"/>
              </w:rPr>
              <w:lastRenderedPageBreak/>
              <w:t>Harmful Parent Child Interaction Tool</w:t>
            </w:r>
          </w:p>
        </w:tc>
        <w:tc>
          <w:tcPr>
            <w:tcW w:w="2439" w:type="pct"/>
          </w:tcPr>
          <w:p w14:paraId="1C1A4B35"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r w:rsidRPr="00664945">
              <w:rPr>
                <w:rFonts w:ascii="Aptos" w:hAnsi="Aptos" w:cstheme="minorHAnsi"/>
                <w:sz w:val="24"/>
                <w:szCs w:val="24"/>
              </w:rPr>
              <w:t>This is a Health-specific tool used by those who have attended the appropriate training.</w:t>
            </w:r>
            <w:r w:rsidRPr="00664945">
              <w:rPr>
                <w:rFonts w:ascii="Aptos" w:hAnsi="Aptos" w:cstheme="minorHAnsi"/>
                <w:b/>
                <w:sz w:val="24"/>
                <w:szCs w:val="24"/>
              </w:rPr>
              <w:t xml:space="preserve">  </w:t>
            </w:r>
            <w:r w:rsidRPr="00664945">
              <w:rPr>
                <w:rFonts w:ascii="Aptos" w:hAnsi="Aptos" w:cstheme="minorHAnsi"/>
                <w:sz w:val="24"/>
                <w:szCs w:val="24"/>
              </w:rPr>
              <w:t>It is used when there are concerns about parental child interactions and want to identify and analyse the emotionally harmful impact on the child.</w:t>
            </w:r>
          </w:p>
          <w:p w14:paraId="37C3E4B4"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c>
          <w:tcPr>
            <w:tcW w:w="663" w:type="pct"/>
          </w:tcPr>
          <w:p w14:paraId="7129ACEC"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Arial"/>
                <w:bCs/>
                <w:sz w:val="24"/>
                <w:szCs w:val="24"/>
              </w:rPr>
            </w:pPr>
            <w:r w:rsidRPr="00664945">
              <w:rPr>
                <w:rFonts w:ascii="Aptos" w:hAnsi="Aptos" w:cs="Arial"/>
                <w:bCs/>
                <w:sz w:val="24"/>
                <w:szCs w:val="24"/>
              </w:rPr>
              <w:t>Health</w:t>
            </w:r>
          </w:p>
        </w:tc>
        <w:tc>
          <w:tcPr>
            <w:tcW w:w="1239" w:type="pct"/>
          </w:tcPr>
          <w:p w14:paraId="66DBCA46"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cs="Arial"/>
                <w:b/>
                <w:sz w:val="24"/>
                <w:szCs w:val="24"/>
              </w:rPr>
            </w:pPr>
          </w:p>
          <w:bookmarkStart w:id="3" w:name="_MON_1789889804"/>
          <w:bookmarkEnd w:id="3"/>
          <w:p w14:paraId="18EBD90A" w14:textId="77777777" w:rsidR="001F2FF7" w:rsidRPr="00664945" w:rsidRDefault="001F2FF7" w:rsidP="001A1768">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cs="Arial"/>
                <w:b/>
                <w:i/>
                <w:iCs/>
                <w:sz w:val="24"/>
                <w:szCs w:val="24"/>
              </w:rPr>
              <w:object w:dxaOrig="1508" w:dyaOrig="984" w14:anchorId="67790FFA">
                <v:shape id="_x0000_i1026" type="#_x0000_t75" style="width:77.5pt;height:49pt" o:ole="">
                  <v:imagedata r:id="rId35" o:title=""/>
                </v:shape>
                <o:OLEObject Type="Embed" ProgID="Word.Document.12" ShapeID="_x0000_i1026" DrawAspect="Icon" ObjectID="_1843393331" r:id="rId36">
                  <o:FieldCodes>\s</o:FieldCodes>
                </o:OLEObject>
              </w:object>
            </w:r>
          </w:p>
        </w:tc>
      </w:tr>
      <w:tr w:rsidR="00334981" w:rsidRPr="00664945" w14:paraId="38977179"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26CB56B1" w14:textId="77777777" w:rsidR="00334981" w:rsidRPr="00664945" w:rsidRDefault="00334981" w:rsidP="00334981">
            <w:pPr>
              <w:jc w:val="left"/>
              <w:rPr>
                <w:rFonts w:ascii="Aptos" w:hAnsi="Aptos"/>
                <w:sz w:val="24"/>
                <w:szCs w:val="24"/>
              </w:rPr>
            </w:pPr>
            <w:r w:rsidRPr="00664945">
              <w:rPr>
                <w:rFonts w:ascii="Aptos" w:hAnsi="Aptos"/>
                <w:sz w:val="24"/>
                <w:szCs w:val="24"/>
              </w:rPr>
              <w:t>Kinship care assessment</w:t>
            </w:r>
          </w:p>
        </w:tc>
        <w:tc>
          <w:tcPr>
            <w:tcW w:w="2439" w:type="pct"/>
          </w:tcPr>
          <w:p w14:paraId="61C997EB"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A Social Work tool designed to assess </w:t>
            </w:r>
            <w:r w:rsidR="00664945">
              <w:rPr>
                <w:rFonts w:ascii="Aptos" w:hAnsi="Aptos"/>
                <w:sz w:val="24"/>
                <w:szCs w:val="24"/>
              </w:rPr>
              <w:t xml:space="preserve">the suitability and support needs of kinship carers. </w:t>
            </w:r>
            <w:r w:rsidRPr="00664945">
              <w:rPr>
                <w:rFonts w:ascii="Aptos" w:hAnsi="Aptos"/>
                <w:sz w:val="24"/>
                <w:szCs w:val="24"/>
              </w:rPr>
              <w:t xml:space="preserve"> </w:t>
            </w:r>
          </w:p>
        </w:tc>
        <w:tc>
          <w:tcPr>
            <w:tcW w:w="663" w:type="pct"/>
          </w:tcPr>
          <w:p w14:paraId="0DD6077D"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66E9F636"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Interchange</w:t>
            </w:r>
          </w:p>
        </w:tc>
      </w:tr>
      <w:tr w:rsidR="00334981" w:rsidRPr="00664945" w14:paraId="7BAB17EB"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24E91277" w14:textId="77777777" w:rsidR="00334981" w:rsidRPr="00664945" w:rsidRDefault="00334981" w:rsidP="00334981">
            <w:pPr>
              <w:jc w:val="left"/>
              <w:rPr>
                <w:rFonts w:ascii="Aptos" w:hAnsi="Aptos"/>
                <w:sz w:val="24"/>
                <w:szCs w:val="24"/>
              </w:rPr>
            </w:pPr>
            <w:r w:rsidRPr="00664945">
              <w:rPr>
                <w:rFonts w:ascii="Aptos" w:hAnsi="Aptos"/>
                <w:sz w:val="24"/>
                <w:szCs w:val="24"/>
              </w:rPr>
              <w:t>Leuven Well-Being and Involvement Scale</w:t>
            </w:r>
          </w:p>
        </w:tc>
        <w:tc>
          <w:tcPr>
            <w:tcW w:w="2439" w:type="pct"/>
          </w:tcPr>
          <w:p w14:paraId="1C761B1A"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The Leuven scales is an education-specific tool for assessing levels of engagement for either specific individual children or groups of children. It focuses on the extent to which pupils feel at ease, act spontaneously, show vitality and self-confidence and impacts on our levels of curiosity, creative development and our ability to make meaning and new understanding. Involvement focuses on the extent to which pupils are operating to their full capabilities. It refers to whether the child is focused, engaged and interested in various activities. </w:t>
            </w:r>
          </w:p>
        </w:tc>
        <w:tc>
          <w:tcPr>
            <w:tcW w:w="663" w:type="pct"/>
          </w:tcPr>
          <w:p w14:paraId="79FA6CF0"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Education</w:t>
            </w:r>
          </w:p>
        </w:tc>
        <w:tc>
          <w:tcPr>
            <w:tcW w:w="1239" w:type="pct"/>
          </w:tcPr>
          <w:p w14:paraId="173231BF"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sz w:val="24"/>
                <w:szCs w:val="24"/>
              </w:rPr>
            </w:pPr>
            <w:hyperlink r:id="rId37" w:history="1">
              <w:r w:rsidRPr="00664945">
                <w:rPr>
                  <w:rStyle w:val="Hyperlink"/>
                  <w:rFonts w:ascii="Aptos" w:hAnsi="Aptos" w:cstheme="minorHAnsi"/>
                  <w:b/>
                  <w:sz w:val="24"/>
                  <w:szCs w:val="24"/>
                </w:rPr>
                <w:t>Leuven Well-Being and Involvement Scale</w:t>
              </w:r>
            </w:hyperlink>
          </w:p>
        </w:tc>
      </w:tr>
      <w:tr w:rsidR="00334981" w:rsidRPr="00664945" w14:paraId="1504B49E"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6DC180AA" w14:textId="77777777" w:rsidR="00334981" w:rsidRPr="00664945" w:rsidRDefault="00334981" w:rsidP="00334981">
            <w:pPr>
              <w:jc w:val="left"/>
              <w:rPr>
                <w:rFonts w:ascii="Aptos" w:hAnsi="Aptos"/>
                <w:sz w:val="24"/>
                <w:szCs w:val="24"/>
              </w:rPr>
            </w:pPr>
            <w:r w:rsidRPr="00664945">
              <w:rPr>
                <w:rFonts w:ascii="Aptos" w:hAnsi="Aptos"/>
                <w:sz w:val="24"/>
                <w:szCs w:val="24"/>
              </w:rPr>
              <w:t xml:space="preserve">Interagency Assessment </w:t>
            </w:r>
          </w:p>
        </w:tc>
        <w:tc>
          <w:tcPr>
            <w:tcW w:w="2439" w:type="pct"/>
          </w:tcPr>
          <w:p w14:paraId="3371E1FC" w14:textId="77777777" w:rsidR="00664945" w:rsidRPr="00664945" w:rsidRDefault="00664945" w:rsidP="00664945">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A National Practice Model based assessment of risk and need which is led by Social Work in collaborations with the child, their family and multiagency partners. </w:t>
            </w:r>
          </w:p>
          <w:p w14:paraId="32F74D80" w14:textId="77777777" w:rsidR="00664945" w:rsidRPr="00664945" w:rsidRDefault="00664945" w:rsidP="00664945">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5464EFE1" w14:textId="77777777" w:rsidR="00664945" w:rsidRPr="00664945" w:rsidRDefault="00664945" w:rsidP="00664945">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The assessment is currently the report to inform:</w:t>
            </w:r>
          </w:p>
          <w:p w14:paraId="3F537669" w14:textId="77777777" w:rsidR="00664945" w:rsidRPr="00664945" w:rsidRDefault="00664945" w:rsidP="00664945">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p w14:paraId="7FF274A8" w14:textId="77777777" w:rsidR="00664945" w:rsidRPr="00664945" w:rsidRDefault="00664945" w:rsidP="00664945">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The child’s plan for children in need, where it is identified a social work led assessment would benefit the family.</w:t>
            </w:r>
          </w:p>
          <w:p w14:paraId="13723B0F" w14:textId="77777777" w:rsidR="00664945" w:rsidRPr="00664945" w:rsidRDefault="00664945" w:rsidP="00664945">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The Children’s Reporter or a Children’s Panel when considering referrals and decisions for children and young people</w:t>
            </w:r>
          </w:p>
          <w:p w14:paraId="205062D4" w14:textId="77777777" w:rsidR="00664945" w:rsidRDefault="00664945" w:rsidP="00664945">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Child protection planning meetings and the child’s protection plan</w:t>
            </w:r>
          </w:p>
          <w:p w14:paraId="46EC1138" w14:textId="77777777" w:rsidR="00334981" w:rsidRPr="00664945" w:rsidRDefault="00664945" w:rsidP="00664945">
            <w:pPr>
              <w:pStyle w:val="ListParagraph"/>
              <w:numPr>
                <w:ilvl w:val="0"/>
                <w:numId w:val="9"/>
              </w:num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Looked after child reviews and the looked after child’s plan</w:t>
            </w:r>
            <w:r>
              <w:rPr>
                <w:rFonts w:ascii="Aptos" w:hAnsi="Aptos"/>
                <w:sz w:val="24"/>
                <w:szCs w:val="24"/>
              </w:rPr>
              <w:t xml:space="preserve">. </w:t>
            </w:r>
          </w:p>
        </w:tc>
        <w:tc>
          <w:tcPr>
            <w:tcW w:w="663" w:type="pct"/>
          </w:tcPr>
          <w:p w14:paraId="695D5FA4"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Social Work</w:t>
            </w:r>
          </w:p>
        </w:tc>
        <w:tc>
          <w:tcPr>
            <w:tcW w:w="1239" w:type="pct"/>
          </w:tcPr>
          <w:p w14:paraId="3E2B0FAA"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Interchange</w:t>
            </w:r>
          </w:p>
        </w:tc>
      </w:tr>
      <w:tr w:rsidR="00334981" w:rsidRPr="00664945" w14:paraId="252E942E"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7091CC4A" w14:textId="77777777" w:rsidR="00334981" w:rsidRPr="00664945" w:rsidRDefault="00334981" w:rsidP="00334981">
            <w:pPr>
              <w:jc w:val="left"/>
              <w:rPr>
                <w:rFonts w:ascii="Aptos" w:hAnsi="Aptos"/>
                <w:sz w:val="24"/>
                <w:szCs w:val="24"/>
              </w:rPr>
            </w:pPr>
            <w:r w:rsidRPr="00664945">
              <w:rPr>
                <w:rFonts w:ascii="Aptos" w:hAnsi="Aptos"/>
                <w:sz w:val="24"/>
                <w:szCs w:val="24"/>
              </w:rPr>
              <w:t>My Views</w:t>
            </w:r>
          </w:p>
        </w:tc>
        <w:tc>
          <w:tcPr>
            <w:tcW w:w="2439" w:type="pct"/>
          </w:tcPr>
          <w:p w14:paraId="24572A3F"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The My Views Tool is a multiagency tool that can be used with a child/young person to gather their views at any point it feels helpful. It can be completed with the Named Person, Lead Professional or any involved practitioner. Gathering views can be to complement or inform single/multi-agency assessment, or to help capture views for sharing at a meeting. This makes sure the views of children/young people are fully represented, as well as those of parents/carers and other professionals.</w:t>
            </w:r>
          </w:p>
        </w:tc>
        <w:tc>
          <w:tcPr>
            <w:tcW w:w="663" w:type="pct"/>
          </w:tcPr>
          <w:p w14:paraId="3EFC7400"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Cs/>
                <w:sz w:val="24"/>
                <w:szCs w:val="24"/>
              </w:rPr>
            </w:pPr>
            <w:r w:rsidRPr="00664945">
              <w:rPr>
                <w:rFonts w:ascii="Aptos" w:hAnsi="Aptos" w:cstheme="minorHAnsi"/>
                <w:bCs/>
                <w:sz w:val="24"/>
                <w:szCs w:val="24"/>
              </w:rPr>
              <w:t>Education</w:t>
            </w:r>
          </w:p>
          <w:p w14:paraId="75FAF7EB"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Cs/>
                <w:sz w:val="24"/>
                <w:szCs w:val="24"/>
              </w:rPr>
            </w:pPr>
            <w:r w:rsidRPr="00664945">
              <w:rPr>
                <w:rFonts w:ascii="Aptos" w:hAnsi="Aptos" w:cstheme="minorHAnsi"/>
                <w:bCs/>
                <w:sz w:val="24"/>
                <w:szCs w:val="24"/>
              </w:rPr>
              <w:t>Health</w:t>
            </w:r>
          </w:p>
          <w:p w14:paraId="3805DCFF"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Cs/>
                <w:sz w:val="24"/>
                <w:szCs w:val="24"/>
              </w:rPr>
            </w:pPr>
            <w:r w:rsidRPr="00664945">
              <w:rPr>
                <w:rFonts w:ascii="Aptos" w:hAnsi="Aptos" w:cstheme="minorHAnsi"/>
                <w:bCs/>
                <w:sz w:val="24"/>
                <w:szCs w:val="24"/>
              </w:rPr>
              <w:t>Social Work</w:t>
            </w:r>
          </w:p>
        </w:tc>
        <w:bookmarkStart w:id="4" w:name="_MON_1789890903"/>
        <w:bookmarkEnd w:id="4"/>
        <w:tc>
          <w:tcPr>
            <w:tcW w:w="1239" w:type="pct"/>
          </w:tcPr>
          <w:p w14:paraId="53FBE865"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r w:rsidRPr="00664945">
              <w:rPr>
                <w:rFonts w:ascii="Aptos" w:hAnsi="Aptos" w:cstheme="minorHAnsi"/>
                <w:b/>
                <w:i/>
                <w:iCs/>
                <w:sz w:val="24"/>
                <w:szCs w:val="24"/>
              </w:rPr>
              <w:object w:dxaOrig="1508" w:dyaOrig="984" w14:anchorId="2A66DB30">
                <v:shape id="_x0000_i1027" type="#_x0000_t75" style="width:77.5pt;height:49pt" o:ole="">
                  <v:imagedata r:id="rId38" o:title=""/>
                </v:shape>
                <o:OLEObject Type="Embed" ProgID="Word.Document.12" ShapeID="_x0000_i1027" DrawAspect="Icon" ObjectID="_1843393332" r:id="rId39">
                  <o:FieldCodes>\s</o:FieldCodes>
                </o:OLEObject>
              </w:object>
            </w:r>
            <w:r w:rsidRPr="00664945">
              <w:rPr>
                <w:rFonts w:ascii="Aptos" w:hAnsi="Aptos" w:cstheme="minorHAnsi"/>
                <w:b/>
                <w:sz w:val="24"/>
                <w:szCs w:val="24"/>
              </w:rPr>
              <w:t xml:space="preserve">     - HEALTH MY VIEW TOOL</w:t>
            </w:r>
          </w:p>
          <w:p w14:paraId="020F48A8"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1F62FFF8"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0" w:history="1">
              <w:r w:rsidRPr="00664945">
                <w:rPr>
                  <w:rStyle w:val="Hyperlink"/>
                  <w:rFonts w:ascii="Aptos" w:hAnsi="Aptos" w:cstheme="minorHAnsi"/>
                  <w:b/>
                  <w:sz w:val="24"/>
                  <w:szCs w:val="24"/>
                </w:rPr>
                <w:t>https://girfecinmoray.co.uk/wp-content/uploads/2024/10/childs-views-worksheet.pdf</w:t>
              </w:r>
            </w:hyperlink>
          </w:p>
          <w:p w14:paraId="340283A5"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5F812469"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1" w:history="1">
              <w:r w:rsidRPr="00664945">
                <w:rPr>
                  <w:rStyle w:val="Hyperlink"/>
                  <w:rFonts w:ascii="Aptos" w:hAnsi="Aptos" w:cstheme="minorHAnsi"/>
                  <w:b/>
                  <w:sz w:val="24"/>
                  <w:szCs w:val="24"/>
                </w:rPr>
                <w:t>https://girfecinmoray.co.uk/wp-content/uploads/2024/10/Consulting-our-Youngest-Children-Toolkit-1-1.pdf</w:t>
              </w:r>
            </w:hyperlink>
          </w:p>
          <w:p w14:paraId="785EB751"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64ABA332"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2" w:history="1">
              <w:r w:rsidRPr="00664945">
                <w:rPr>
                  <w:rStyle w:val="Hyperlink"/>
                  <w:rFonts w:ascii="Aptos" w:hAnsi="Aptos" w:cstheme="minorHAnsi"/>
                  <w:b/>
                  <w:sz w:val="24"/>
                  <w:szCs w:val="24"/>
                </w:rPr>
                <w:t>https://girfecinmoray.co.uk/wp-content/uploads/2024/10/Ke</w:t>
              </w:r>
              <w:r w:rsidRPr="00664945">
                <w:rPr>
                  <w:rStyle w:val="Hyperlink"/>
                  <w:rFonts w:ascii="Aptos" w:hAnsi="Aptos" w:cstheme="minorHAnsi"/>
                  <w:b/>
                  <w:sz w:val="24"/>
                  <w:szCs w:val="24"/>
                </w:rPr>
                <w:lastRenderedPageBreak/>
                <w:t>eping-the-Infant-in-Mind-Bradford-doc.pdf</w:t>
              </w:r>
            </w:hyperlink>
          </w:p>
          <w:p w14:paraId="27A0B046"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5A97319D"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3" w:history="1">
              <w:r w:rsidRPr="00664945">
                <w:rPr>
                  <w:rStyle w:val="Hyperlink"/>
                  <w:rFonts w:ascii="Aptos" w:hAnsi="Aptos" w:cstheme="minorHAnsi"/>
                  <w:b/>
                  <w:sz w:val="24"/>
                  <w:szCs w:val="24"/>
                </w:rPr>
                <w:t>https://girfecinmoray.co.uk/wp-content/uploads/2024/10/highland-council-psychological-service-tools-for-gathering-the-views-of-children-and-young-people-may-2020.pdf</w:t>
              </w:r>
            </w:hyperlink>
          </w:p>
          <w:p w14:paraId="7557391C"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2E36E8A6"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4" w:history="1">
              <w:r w:rsidRPr="00664945">
                <w:rPr>
                  <w:rStyle w:val="Hyperlink"/>
                  <w:rFonts w:ascii="Aptos" w:hAnsi="Aptos" w:cstheme="minorHAnsi"/>
                  <w:b/>
                  <w:sz w:val="24"/>
                  <w:szCs w:val="24"/>
                </w:rPr>
                <w:t>https://girfecinmoray.co.uk/wp-content/uploads/2024/10/voice-infant-best-practice-guidelines-infant-pledge-1.pdf</w:t>
              </w:r>
            </w:hyperlink>
          </w:p>
          <w:p w14:paraId="0B87FD5A"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7B0F1F63"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5" w:history="1">
              <w:r w:rsidRPr="00664945">
                <w:rPr>
                  <w:rStyle w:val="Hyperlink"/>
                  <w:rFonts w:ascii="Aptos" w:hAnsi="Aptos" w:cstheme="minorHAnsi"/>
                  <w:b/>
                  <w:sz w:val="24"/>
                  <w:szCs w:val="24"/>
                </w:rPr>
                <w:t>https://girfecinmoray.co.uk/wp-content/uploads/2024/10/My-Feelings-Workbook.pdf</w:t>
              </w:r>
            </w:hyperlink>
          </w:p>
          <w:p w14:paraId="0E3413ED"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7EED216B"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6" w:history="1">
              <w:r w:rsidRPr="00664945">
                <w:rPr>
                  <w:rStyle w:val="Hyperlink"/>
                  <w:rFonts w:ascii="Aptos" w:hAnsi="Aptos" w:cstheme="minorHAnsi"/>
                  <w:b/>
                  <w:sz w:val="24"/>
                  <w:szCs w:val="24"/>
                </w:rPr>
                <w:t>https://girfecinmoray.co.uk/wp-content/uploads/2025/03/Voice-of-the-Child-LEO-final-version-3.pdf</w:t>
              </w:r>
            </w:hyperlink>
          </w:p>
          <w:p w14:paraId="6A27FA28"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p>
          <w:p w14:paraId="1AB4CD24"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sz w:val="24"/>
                <w:szCs w:val="24"/>
              </w:rPr>
            </w:pPr>
            <w:hyperlink r:id="rId47" w:history="1">
              <w:r w:rsidRPr="00664945">
                <w:rPr>
                  <w:rStyle w:val="Hyperlink"/>
                  <w:rFonts w:ascii="Aptos" w:hAnsi="Aptos" w:cstheme="minorHAnsi"/>
                  <w:b/>
                  <w:sz w:val="24"/>
                  <w:szCs w:val="24"/>
                </w:rPr>
                <w:t>https://girfecinmoray.co.uk/</w:t>
              </w:r>
            </w:hyperlink>
          </w:p>
        </w:tc>
      </w:tr>
      <w:tr w:rsidR="00334981" w:rsidRPr="00664945" w14:paraId="1B3BF34C"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06F761BC" w14:textId="77777777" w:rsidR="00334981" w:rsidRPr="00664945" w:rsidRDefault="00334981" w:rsidP="00334981">
            <w:pPr>
              <w:jc w:val="left"/>
              <w:rPr>
                <w:rFonts w:ascii="Aptos" w:hAnsi="Aptos"/>
                <w:sz w:val="24"/>
                <w:szCs w:val="24"/>
              </w:rPr>
            </w:pPr>
            <w:r w:rsidRPr="00664945">
              <w:rPr>
                <w:rFonts w:ascii="Aptos" w:hAnsi="Aptos"/>
                <w:sz w:val="24"/>
                <w:szCs w:val="24"/>
              </w:rPr>
              <w:lastRenderedPageBreak/>
              <w:t>My World Triangle</w:t>
            </w:r>
          </w:p>
        </w:tc>
        <w:tc>
          <w:tcPr>
            <w:tcW w:w="2439" w:type="pct"/>
          </w:tcPr>
          <w:p w14:paraId="5B6D258A"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My World Triangle is a multiagency assessment tool that helps professionals look at all parts of a child’s life including their health, learning, relationships and surroundings.  Professionals use this tool when they want to better understand what is going well and where extra support might help a child so that they can grow up safe, healthy and confident.</w:t>
            </w:r>
          </w:p>
        </w:tc>
        <w:tc>
          <w:tcPr>
            <w:tcW w:w="663" w:type="pct"/>
          </w:tcPr>
          <w:p w14:paraId="0545FA79"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68A6B78A"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5EDC2330"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3E3EE485"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hyperlink r:id="rId48" w:history="1">
              <w:r w:rsidRPr="00664945">
                <w:rPr>
                  <w:rStyle w:val="Hyperlink"/>
                  <w:rFonts w:ascii="Aptos" w:hAnsi="Aptos" w:cstheme="minorHAnsi"/>
                  <w:b/>
                  <w:sz w:val="24"/>
                  <w:szCs w:val="24"/>
                </w:rPr>
                <w:t>GIRFEC+-+My+World+Triangle+-+2023.pdf</w:t>
              </w:r>
            </w:hyperlink>
          </w:p>
          <w:p w14:paraId="0DD1945E"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p>
          <w:p w14:paraId="3C3589A7"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rPr>
            </w:pPr>
            <w:hyperlink r:id="rId49" w:history="1">
              <w:r w:rsidRPr="00664945">
                <w:rPr>
                  <w:rStyle w:val="Hyperlink"/>
                  <w:rFonts w:ascii="Aptos" w:hAnsi="Aptos" w:cstheme="minorHAnsi"/>
                  <w:b/>
                  <w:sz w:val="24"/>
                  <w:szCs w:val="24"/>
                </w:rPr>
                <w:t xml:space="preserve">8. Using the My World Triangle - Getting it right for every child (GIRFEC) Practice Guidance 1 - Using the National Practice Model - </w:t>
              </w:r>
              <w:proofErr w:type="spellStart"/>
              <w:proofErr w:type="gramStart"/>
              <w:r w:rsidRPr="00664945">
                <w:rPr>
                  <w:rStyle w:val="Hyperlink"/>
                  <w:rFonts w:ascii="Aptos" w:hAnsi="Aptos" w:cstheme="minorHAnsi"/>
                  <w:b/>
                  <w:sz w:val="24"/>
                  <w:szCs w:val="24"/>
                </w:rPr>
                <w:t>gov.scot</w:t>
              </w:r>
              <w:proofErr w:type="spellEnd"/>
              <w:proofErr w:type="gramEnd"/>
            </w:hyperlink>
          </w:p>
          <w:p w14:paraId="6CEEABA6"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334981" w:rsidRPr="00664945" w14:paraId="00E76519"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65F164FA" w14:textId="77777777" w:rsidR="00334981" w:rsidRPr="00664945" w:rsidRDefault="00334981" w:rsidP="00334981">
            <w:pPr>
              <w:jc w:val="left"/>
              <w:rPr>
                <w:rFonts w:ascii="Aptos" w:hAnsi="Aptos"/>
                <w:sz w:val="24"/>
                <w:szCs w:val="24"/>
              </w:rPr>
            </w:pPr>
            <w:r w:rsidRPr="00664945">
              <w:rPr>
                <w:rFonts w:ascii="Aptos" w:hAnsi="Aptos"/>
                <w:sz w:val="24"/>
                <w:szCs w:val="24"/>
              </w:rPr>
              <w:t>Resilience Matrix</w:t>
            </w:r>
          </w:p>
        </w:tc>
        <w:tc>
          <w:tcPr>
            <w:tcW w:w="2439" w:type="pct"/>
          </w:tcPr>
          <w:p w14:paraId="78BBB7C3"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The Resilience Matrix is a multiagency tool used by professionals to look at what is helping a child cope well and what might be causing stress or difficulties.  It helps professionals to identify where things are going well and where a child might need some extra support, allowing us to offer the right help at the right time.  Professionals use this tool when extra supports are required.   </w:t>
            </w:r>
          </w:p>
        </w:tc>
        <w:tc>
          <w:tcPr>
            <w:tcW w:w="663" w:type="pct"/>
          </w:tcPr>
          <w:p w14:paraId="5485B816"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664945">
              <w:rPr>
                <w:rFonts w:ascii="Aptos" w:hAnsi="Aptos" w:cs="Arial"/>
                <w:sz w:val="24"/>
                <w:szCs w:val="24"/>
              </w:rPr>
              <w:t>Education</w:t>
            </w:r>
          </w:p>
          <w:p w14:paraId="28F414C3"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664945">
              <w:rPr>
                <w:rFonts w:ascii="Aptos" w:hAnsi="Aptos" w:cs="Arial"/>
                <w:sz w:val="24"/>
                <w:szCs w:val="24"/>
              </w:rPr>
              <w:t>Health</w:t>
            </w:r>
          </w:p>
          <w:p w14:paraId="36CD3E7A"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664945">
              <w:rPr>
                <w:rFonts w:ascii="Aptos" w:hAnsi="Aptos" w:cs="Arial"/>
                <w:sz w:val="24"/>
                <w:szCs w:val="24"/>
              </w:rPr>
              <w:t>Social Work</w:t>
            </w:r>
          </w:p>
        </w:tc>
        <w:tc>
          <w:tcPr>
            <w:tcW w:w="1239" w:type="pct"/>
          </w:tcPr>
          <w:p w14:paraId="7AE2ACA7"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bCs/>
                <w:sz w:val="24"/>
                <w:szCs w:val="24"/>
              </w:rPr>
            </w:pPr>
            <w:hyperlink r:id="rId50" w:history="1">
              <w:r w:rsidRPr="00664945">
                <w:rPr>
                  <w:rStyle w:val="Hyperlink"/>
                  <w:rFonts w:ascii="Aptos" w:hAnsi="Aptos" w:cstheme="minorHAnsi"/>
                  <w:b/>
                  <w:bCs/>
                  <w:sz w:val="24"/>
                  <w:szCs w:val="24"/>
                </w:rPr>
                <w:t>GIRFEC+-+Resilience+Matrix+-+2023.pdf</w:t>
              </w:r>
            </w:hyperlink>
            <w:r w:rsidRPr="00664945">
              <w:rPr>
                <w:rFonts w:ascii="Aptos" w:hAnsi="Aptos" w:cstheme="minorHAnsi"/>
                <w:b/>
                <w:bCs/>
                <w:sz w:val="24"/>
                <w:szCs w:val="24"/>
              </w:rPr>
              <w:t xml:space="preserve"> </w:t>
            </w:r>
          </w:p>
          <w:p w14:paraId="650676CE"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bCs/>
                <w:sz w:val="24"/>
                <w:szCs w:val="24"/>
              </w:rPr>
            </w:pPr>
          </w:p>
          <w:p w14:paraId="4408ABA8"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theme="minorHAnsi"/>
                <w:b/>
                <w:bCs/>
                <w:sz w:val="24"/>
                <w:szCs w:val="24"/>
              </w:rPr>
            </w:pPr>
            <w:hyperlink r:id="rId51" w:history="1">
              <w:r w:rsidRPr="00664945">
                <w:rPr>
                  <w:rStyle w:val="Hyperlink"/>
                  <w:rFonts w:ascii="Aptos" w:hAnsi="Aptos" w:cstheme="minorHAnsi"/>
                  <w:b/>
                  <w:bCs/>
                  <w:sz w:val="24"/>
                  <w:szCs w:val="24"/>
                </w:rPr>
                <w:t xml:space="preserve">10. How can the Resilience Matrix be used in GIRFEC? - Getting it right for every child (GIRFEC) Practice Guidance 1 - Using the National Practice Model - </w:t>
              </w:r>
              <w:proofErr w:type="spellStart"/>
              <w:proofErr w:type="gramStart"/>
              <w:r w:rsidRPr="00664945">
                <w:rPr>
                  <w:rStyle w:val="Hyperlink"/>
                  <w:rFonts w:ascii="Aptos" w:hAnsi="Aptos" w:cstheme="minorHAnsi"/>
                  <w:b/>
                  <w:bCs/>
                  <w:sz w:val="24"/>
                  <w:szCs w:val="24"/>
                </w:rPr>
                <w:t>gov.scot</w:t>
              </w:r>
              <w:proofErr w:type="spellEnd"/>
              <w:proofErr w:type="gramEnd"/>
            </w:hyperlink>
          </w:p>
          <w:p w14:paraId="1BAE1850"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p>
        </w:tc>
      </w:tr>
      <w:tr w:rsidR="00334981" w:rsidRPr="00664945" w14:paraId="6CDC8463" w14:textId="77777777" w:rsidTr="00F00319">
        <w:trPr>
          <w:trHeight w:val="258"/>
        </w:trPr>
        <w:tc>
          <w:tcPr>
            <w:cnfStyle w:val="001000000000" w:firstRow="0" w:lastRow="0" w:firstColumn="1" w:lastColumn="0" w:oddVBand="0" w:evenVBand="0" w:oddHBand="0" w:evenHBand="0" w:firstRowFirstColumn="0" w:firstRowLastColumn="0" w:lastRowFirstColumn="0" w:lastRowLastColumn="0"/>
            <w:tcW w:w="659" w:type="pct"/>
          </w:tcPr>
          <w:p w14:paraId="481E0DC1" w14:textId="77777777" w:rsidR="00334981" w:rsidRPr="00664945" w:rsidRDefault="00334981" w:rsidP="00334981">
            <w:pPr>
              <w:jc w:val="left"/>
              <w:rPr>
                <w:rFonts w:ascii="Aptos" w:hAnsi="Aptos" w:cs="Arial"/>
                <w:b w:val="0"/>
                <w:sz w:val="24"/>
                <w:szCs w:val="24"/>
              </w:rPr>
            </w:pPr>
            <w:r w:rsidRPr="00664945">
              <w:rPr>
                <w:rFonts w:ascii="Aptos" w:hAnsi="Aptos" w:cs="Arial"/>
                <w:sz w:val="24"/>
                <w:szCs w:val="24"/>
              </w:rPr>
              <w:t xml:space="preserve">Safe and Together Model </w:t>
            </w:r>
          </w:p>
          <w:p w14:paraId="44027C42" w14:textId="77777777" w:rsidR="00334981" w:rsidRPr="00664945" w:rsidRDefault="00334981" w:rsidP="00334981">
            <w:pPr>
              <w:jc w:val="left"/>
              <w:rPr>
                <w:rFonts w:ascii="Aptos" w:hAnsi="Aptos" w:cs="Arial"/>
                <w:b w:val="0"/>
                <w:sz w:val="24"/>
                <w:szCs w:val="24"/>
                <w:u w:val="single"/>
              </w:rPr>
            </w:pPr>
          </w:p>
        </w:tc>
        <w:tc>
          <w:tcPr>
            <w:tcW w:w="2439" w:type="pct"/>
          </w:tcPr>
          <w:p w14:paraId="2E65B86F"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Arial"/>
                <w:bCs/>
                <w:sz w:val="24"/>
                <w:szCs w:val="24"/>
              </w:rPr>
            </w:pPr>
            <w:r w:rsidRPr="00664945">
              <w:rPr>
                <w:rFonts w:ascii="Aptos" w:hAnsi="Aptos" w:cs="Arial"/>
                <w:sz w:val="24"/>
                <w:szCs w:val="24"/>
              </w:rPr>
              <w:t xml:space="preserve">Used when supporting a family experiencing domestic abuse, </w:t>
            </w:r>
            <w:r w:rsidRPr="00664945">
              <w:rPr>
                <w:rFonts w:ascii="Aptos" w:hAnsi="Aptos" w:cs="Arial"/>
                <w:bCs/>
                <w:sz w:val="24"/>
                <w:szCs w:val="24"/>
              </w:rPr>
              <w:t xml:space="preserve">The Safe &amp; Together Model is a multiagency framework used by professionals who have attended the four-day core training.  The model is an international, perpetrator pattern–based framework for transforming how systems and practitioners respond to domestic abuse and threats to child well-being. It applies a child-centred, strengths-based, and systems-informed approach that shifts the focus from blaming </w:t>
            </w:r>
            <w:r w:rsidRPr="00664945">
              <w:rPr>
                <w:rFonts w:ascii="Aptos" w:hAnsi="Aptos" w:cs="Arial"/>
                <w:bCs/>
                <w:sz w:val="24"/>
                <w:szCs w:val="24"/>
              </w:rPr>
              <w:lastRenderedPageBreak/>
              <w:t>protective caregivers—usually mothers—to holding perpetrators accountable as parents.</w:t>
            </w:r>
          </w:p>
          <w:p w14:paraId="0F61469B"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p>
        </w:tc>
        <w:tc>
          <w:tcPr>
            <w:tcW w:w="663" w:type="pct"/>
          </w:tcPr>
          <w:p w14:paraId="21DE5857"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lastRenderedPageBreak/>
              <w:t>Education</w:t>
            </w:r>
          </w:p>
          <w:p w14:paraId="69EFC5A3"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2E7DFBB9"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322EA533"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Arial"/>
                <w:b/>
                <w:sz w:val="24"/>
                <w:szCs w:val="24"/>
              </w:rPr>
            </w:pPr>
            <w:hyperlink r:id="rId52" w:history="1">
              <w:r w:rsidRPr="00664945">
                <w:rPr>
                  <w:rStyle w:val="Hyperlink"/>
                  <w:rFonts w:ascii="Aptos" w:hAnsi="Aptos" w:cs="Arial"/>
                  <w:b/>
                  <w:sz w:val="24"/>
                  <w:szCs w:val="24"/>
                </w:rPr>
                <w:t>The Safe &amp; Together Model — Safe &amp; Together Institute</w:t>
              </w:r>
            </w:hyperlink>
          </w:p>
          <w:p w14:paraId="428469D2"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r>
      <w:tr w:rsidR="00334981" w:rsidRPr="00664945" w14:paraId="26010A6C" w14:textId="77777777" w:rsidTr="00F00319">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659" w:type="pct"/>
          </w:tcPr>
          <w:p w14:paraId="62CFC7C5" w14:textId="77777777" w:rsidR="00334981" w:rsidRPr="00664945" w:rsidRDefault="00334981" w:rsidP="00334981">
            <w:pPr>
              <w:jc w:val="left"/>
              <w:rPr>
                <w:rFonts w:ascii="Aptos" w:hAnsi="Aptos" w:cs="Calibri"/>
                <w:sz w:val="24"/>
                <w:szCs w:val="24"/>
              </w:rPr>
            </w:pPr>
            <w:r w:rsidRPr="00664945">
              <w:rPr>
                <w:rFonts w:ascii="Aptos" w:hAnsi="Aptos" w:cs="Calibri"/>
                <w:sz w:val="24"/>
                <w:szCs w:val="24"/>
              </w:rPr>
              <w:t>SCODA: Risk assessment of parental drug use and its impact on children Tool</w:t>
            </w:r>
          </w:p>
        </w:tc>
        <w:tc>
          <w:tcPr>
            <w:tcW w:w="2439" w:type="pct"/>
          </w:tcPr>
          <w:p w14:paraId="582FA981"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r w:rsidRPr="00664945">
              <w:rPr>
                <w:rFonts w:ascii="Aptos" w:hAnsi="Aptos" w:cs="Calibri"/>
                <w:sz w:val="24"/>
                <w:szCs w:val="24"/>
              </w:rPr>
              <w:t xml:space="preserve">SCODA is a tool used primarily by Health and </w:t>
            </w:r>
            <w:r w:rsidR="00C474F8" w:rsidRPr="00664945">
              <w:rPr>
                <w:rFonts w:ascii="Aptos" w:hAnsi="Aptos" w:cs="Calibri"/>
                <w:sz w:val="24"/>
                <w:szCs w:val="24"/>
              </w:rPr>
              <w:t xml:space="preserve">Adult </w:t>
            </w:r>
            <w:r w:rsidRPr="00664945">
              <w:rPr>
                <w:rFonts w:ascii="Aptos" w:hAnsi="Aptos" w:cs="Calibri"/>
                <w:sz w:val="24"/>
                <w:szCs w:val="24"/>
              </w:rPr>
              <w:t xml:space="preserve">Social Work practitioners when there are concerns about drug or alcohol use in a parent or carer’s life.  It helps practitioners to understand how this might be affecting a child’s safety, wellbeing and daily life and allows then to ensure the right support is in place for the whole family.  Professionals use this tool when extra supports are required.  </w:t>
            </w:r>
          </w:p>
          <w:p w14:paraId="3786AB01"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p>
        </w:tc>
        <w:tc>
          <w:tcPr>
            <w:tcW w:w="663" w:type="pct"/>
          </w:tcPr>
          <w:p w14:paraId="445B29D8"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78610D32" w14:textId="77777777" w:rsidR="00334981" w:rsidRPr="00664945" w:rsidRDefault="00C474F8"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Adult </w:t>
            </w:r>
            <w:r w:rsidR="00334981" w:rsidRPr="00664945">
              <w:rPr>
                <w:rFonts w:ascii="Aptos" w:hAnsi="Aptos"/>
                <w:sz w:val="24"/>
                <w:szCs w:val="24"/>
              </w:rPr>
              <w:t>Social Work</w:t>
            </w:r>
          </w:p>
        </w:tc>
        <w:tc>
          <w:tcPr>
            <w:tcW w:w="1239" w:type="pct"/>
          </w:tcPr>
          <w:p w14:paraId="3E442D2D"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Calibri"/>
                <w:b/>
                <w:bCs/>
                <w:sz w:val="24"/>
                <w:szCs w:val="24"/>
              </w:rPr>
            </w:pPr>
            <w:hyperlink r:id="rId53" w:history="1">
              <w:r w:rsidRPr="00664945">
                <w:rPr>
                  <w:rStyle w:val="Hyperlink"/>
                  <w:rFonts w:ascii="Aptos" w:hAnsi="Aptos" w:cs="Calibri"/>
                  <w:b/>
                  <w:bCs/>
                  <w:sz w:val="24"/>
                  <w:szCs w:val="24"/>
                </w:rPr>
                <w:t>SCODA: Risk assessment of parental drug use and its impact on children Tool</w:t>
              </w:r>
            </w:hyperlink>
          </w:p>
          <w:p w14:paraId="5885F47B"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cs="Calibri"/>
                <w:sz w:val="24"/>
                <w:szCs w:val="24"/>
              </w:rPr>
            </w:pPr>
          </w:p>
        </w:tc>
      </w:tr>
      <w:tr w:rsidR="00334981" w:rsidRPr="00664945" w14:paraId="32960F85" w14:textId="77777777" w:rsidTr="00F00319">
        <w:trPr>
          <w:trHeight w:val="535"/>
        </w:trPr>
        <w:tc>
          <w:tcPr>
            <w:cnfStyle w:val="001000000000" w:firstRow="0" w:lastRow="0" w:firstColumn="1" w:lastColumn="0" w:oddVBand="0" w:evenVBand="0" w:oddHBand="0" w:evenHBand="0" w:firstRowFirstColumn="0" w:firstRowLastColumn="0" w:lastRowFirstColumn="0" w:lastRowLastColumn="0"/>
            <w:tcW w:w="659" w:type="pct"/>
          </w:tcPr>
          <w:p w14:paraId="10F98EC1" w14:textId="77777777" w:rsidR="00334981" w:rsidRPr="00664945" w:rsidRDefault="00334981" w:rsidP="00334981">
            <w:pPr>
              <w:jc w:val="left"/>
              <w:rPr>
                <w:rFonts w:ascii="Aptos" w:hAnsi="Aptos"/>
                <w:sz w:val="24"/>
                <w:szCs w:val="24"/>
              </w:rPr>
            </w:pPr>
            <w:r w:rsidRPr="00664945">
              <w:rPr>
                <w:rFonts w:ascii="Aptos" w:hAnsi="Aptos"/>
                <w:sz w:val="24"/>
                <w:szCs w:val="24"/>
              </w:rPr>
              <w:t xml:space="preserve">The GIRFEC Questions </w:t>
            </w:r>
            <w:proofErr w:type="gramStart"/>
            <w:r w:rsidRPr="00664945">
              <w:rPr>
                <w:rFonts w:ascii="Aptos" w:hAnsi="Aptos"/>
                <w:sz w:val="24"/>
                <w:szCs w:val="24"/>
              </w:rPr>
              <w:t>-  5</w:t>
            </w:r>
            <w:proofErr w:type="gramEnd"/>
            <w:r w:rsidRPr="00664945">
              <w:rPr>
                <w:rFonts w:ascii="Aptos" w:hAnsi="Aptos"/>
                <w:sz w:val="24"/>
                <w:szCs w:val="24"/>
              </w:rPr>
              <w:t xml:space="preserve"> Key GIRFEC Questions and the SHANARRI Indicators </w:t>
            </w:r>
          </w:p>
        </w:tc>
        <w:tc>
          <w:tcPr>
            <w:tcW w:w="2439" w:type="pct"/>
          </w:tcPr>
          <w:p w14:paraId="50E63A75"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 xml:space="preserve">The GIRFEC questions are a universal assessment tool that provides a structured way for professionals to consider all aspects of a child’s life.  By focussing on the five key questions and the eight SHANARRI indicators ensures that no part of a child’s wellbeing is overlooked.  Assessing a child’s wellbeing in this holistic way ensures that they </w:t>
            </w:r>
            <w:proofErr w:type="gramStart"/>
            <w:r w:rsidRPr="00664945">
              <w:rPr>
                <w:rFonts w:ascii="Aptos" w:hAnsi="Aptos"/>
                <w:sz w:val="24"/>
                <w:szCs w:val="24"/>
              </w:rPr>
              <w:t>have the opportunity to</w:t>
            </w:r>
            <w:proofErr w:type="gramEnd"/>
            <w:r w:rsidRPr="00664945">
              <w:rPr>
                <w:rFonts w:ascii="Aptos" w:hAnsi="Aptos"/>
                <w:sz w:val="24"/>
                <w:szCs w:val="24"/>
              </w:rPr>
              <w:t xml:space="preserve"> </w:t>
            </w:r>
            <w:proofErr w:type="gramStart"/>
            <w:r w:rsidRPr="00664945">
              <w:rPr>
                <w:rFonts w:ascii="Aptos" w:hAnsi="Aptos"/>
                <w:sz w:val="24"/>
                <w:szCs w:val="24"/>
              </w:rPr>
              <w:t>thrive, and</w:t>
            </w:r>
            <w:proofErr w:type="gramEnd"/>
            <w:r w:rsidRPr="00664945">
              <w:rPr>
                <w:rFonts w:ascii="Aptos" w:hAnsi="Aptos"/>
                <w:sz w:val="24"/>
                <w:szCs w:val="24"/>
              </w:rPr>
              <w:t xml:space="preserve"> helps children build the confidence and resilience they need for a happy healthy future. </w:t>
            </w:r>
          </w:p>
          <w:p w14:paraId="2B5D8B1F"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p>
        </w:tc>
        <w:tc>
          <w:tcPr>
            <w:tcW w:w="663" w:type="pct"/>
          </w:tcPr>
          <w:p w14:paraId="3EAEFE53"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Education</w:t>
            </w:r>
          </w:p>
          <w:p w14:paraId="5A5F9CBA"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Health</w:t>
            </w:r>
          </w:p>
          <w:p w14:paraId="210C7EF6"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sz w:val="24"/>
                <w:szCs w:val="24"/>
              </w:rPr>
            </w:pPr>
            <w:r w:rsidRPr="00664945">
              <w:rPr>
                <w:rFonts w:ascii="Aptos" w:hAnsi="Aptos"/>
                <w:sz w:val="24"/>
                <w:szCs w:val="24"/>
              </w:rPr>
              <w:t>Social Work</w:t>
            </w:r>
          </w:p>
        </w:tc>
        <w:tc>
          <w:tcPr>
            <w:tcW w:w="1239" w:type="pct"/>
          </w:tcPr>
          <w:p w14:paraId="776F72B7"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hyperlink r:id="rId54" w:history="1">
              <w:r w:rsidRPr="00664945">
                <w:rPr>
                  <w:rStyle w:val="Hyperlink"/>
                  <w:rFonts w:ascii="Aptos" w:hAnsi="Aptos" w:cstheme="minorHAnsi"/>
                  <w:b/>
                  <w:sz w:val="24"/>
                  <w:szCs w:val="24"/>
                </w:rPr>
                <w:t xml:space="preserve">Wellbeing (SHANARRI) - Getting it right for every child (GIRFEC) - </w:t>
              </w:r>
              <w:proofErr w:type="spellStart"/>
              <w:proofErr w:type="gramStart"/>
              <w:r w:rsidRPr="00664945">
                <w:rPr>
                  <w:rStyle w:val="Hyperlink"/>
                  <w:rFonts w:ascii="Aptos" w:hAnsi="Aptos" w:cstheme="minorHAnsi"/>
                  <w:b/>
                  <w:sz w:val="24"/>
                  <w:szCs w:val="24"/>
                </w:rPr>
                <w:t>gov.scot</w:t>
              </w:r>
              <w:proofErr w:type="spellEnd"/>
              <w:proofErr w:type="gramEnd"/>
            </w:hyperlink>
          </w:p>
          <w:p w14:paraId="0990BE09"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p>
          <w:p w14:paraId="10D713F3"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hyperlink r:id="rId55" w:history="1">
              <w:r w:rsidRPr="00664945">
                <w:rPr>
                  <w:rStyle w:val="Hyperlink"/>
                  <w:rFonts w:ascii="Aptos" w:hAnsi="Aptos" w:cstheme="minorHAnsi"/>
                  <w:b/>
                  <w:sz w:val="24"/>
                  <w:szCs w:val="24"/>
                </w:rPr>
                <w:t xml:space="preserve">Getting it Right </w:t>
              </w:r>
              <w:proofErr w:type="gramStart"/>
              <w:r w:rsidRPr="00664945">
                <w:rPr>
                  <w:rStyle w:val="Hyperlink"/>
                  <w:rFonts w:ascii="Aptos" w:hAnsi="Aptos" w:cstheme="minorHAnsi"/>
                  <w:b/>
                  <w:sz w:val="24"/>
                  <w:szCs w:val="24"/>
                </w:rPr>
                <w:t>For</w:t>
              </w:r>
              <w:proofErr w:type="gramEnd"/>
              <w:r w:rsidRPr="00664945">
                <w:rPr>
                  <w:rStyle w:val="Hyperlink"/>
                  <w:rFonts w:ascii="Aptos" w:hAnsi="Aptos" w:cstheme="minorHAnsi"/>
                  <w:b/>
                  <w:sz w:val="24"/>
                  <w:szCs w:val="24"/>
                </w:rPr>
                <w:t xml:space="preserve"> Every Child </w:t>
              </w:r>
              <w:proofErr w:type="gramStart"/>
              <w:r w:rsidRPr="00664945">
                <w:rPr>
                  <w:rStyle w:val="Hyperlink"/>
                  <w:rFonts w:ascii="Aptos" w:hAnsi="Aptos" w:cstheme="minorHAnsi"/>
                  <w:b/>
                  <w:sz w:val="24"/>
                  <w:szCs w:val="24"/>
                </w:rPr>
                <w:t>In</w:t>
              </w:r>
              <w:proofErr w:type="gramEnd"/>
              <w:r w:rsidRPr="00664945">
                <w:rPr>
                  <w:rStyle w:val="Hyperlink"/>
                  <w:rFonts w:ascii="Aptos" w:hAnsi="Aptos" w:cstheme="minorHAnsi"/>
                  <w:b/>
                  <w:sz w:val="24"/>
                  <w:szCs w:val="24"/>
                </w:rPr>
                <w:t xml:space="preserve"> Moray</w:t>
              </w:r>
            </w:hyperlink>
          </w:p>
          <w:p w14:paraId="2624F8FE"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p>
          <w:p w14:paraId="7370E616"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b/>
                <w:sz w:val="24"/>
                <w:szCs w:val="24"/>
                <w:u w:val="single"/>
              </w:rPr>
            </w:pPr>
            <w:hyperlink r:id="rId56" w:history="1">
              <w:r w:rsidRPr="00664945">
                <w:rPr>
                  <w:rStyle w:val="Hyperlink"/>
                  <w:rFonts w:ascii="Aptos" w:hAnsi="Aptos" w:cstheme="minorHAnsi"/>
                  <w:b/>
                  <w:sz w:val="24"/>
                  <w:szCs w:val="24"/>
                </w:rPr>
                <w:t>Protecting Children &amp; Young People - Moray Protects</w:t>
              </w:r>
            </w:hyperlink>
          </w:p>
          <w:p w14:paraId="4D37D493"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p>
          <w:p w14:paraId="71E2EB88"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r w:rsidRPr="00664945">
              <w:rPr>
                <w:rFonts w:ascii="Aptos" w:hAnsi="Aptos" w:cstheme="minorHAnsi"/>
                <w:sz w:val="24"/>
                <w:szCs w:val="24"/>
              </w:rPr>
              <w:t xml:space="preserve">Template: </w:t>
            </w:r>
          </w:p>
          <w:p w14:paraId="2972C255" w14:textId="77777777" w:rsidR="00334981" w:rsidRPr="00664945" w:rsidRDefault="00334981" w:rsidP="00334981">
            <w:pPr>
              <w:jc w:val="left"/>
              <w:cnfStyle w:val="000000000000" w:firstRow="0" w:lastRow="0" w:firstColumn="0" w:lastColumn="0" w:oddVBand="0" w:evenVBand="0" w:oddHBand="0" w:evenHBand="0" w:firstRowFirstColumn="0" w:firstRowLastColumn="0" w:lastRowFirstColumn="0" w:lastRowLastColumn="0"/>
              <w:rPr>
                <w:rFonts w:ascii="Aptos" w:hAnsi="Aptos" w:cstheme="minorHAnsi"/>
                <w:sz w:val="24"/>
                <w:szCs w:val="24"/>
              </w:rPr>
            </w:pPr>
            <w:hyperlink r:id="rId57" w:history="1">
              <w:r w:rsidRPr="00664945">
                <w:rPr>
                  <w:rStyle w:val="Hyperlink"/>
                  <w:rFonts w:ascii="Aptos" w:hAnsi="Aptos" w:cstheme="minorHAnsi"/>
                  <w:sz w:val="24"/>
                  <w:szCs w:val="24"/>
                </w:rPr>
                <w:t>https://girfecinmoray.co.uk/wp-content/uploads/2025/03/Wellbeing-Assessment-Nov-2024.docx</w:t>
              </w:r>
            </w:hyperlink>
          </w:p>
        </w:tc>
      </w:tr>
      <w:tr w:rsidR="00334981" w:rsidRPr="00664945" w14:paraId="753C60D8" w14:textId="77777777" w:rsidTr="00F00319">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659" w:type="pct"/>
          </w:tcPr>
          <w:p w14:paraId="41DE3696" w14:textId="77777777" w:rsidR="00334981" w:rsidRPr="00664945" w:rsidRDefault="00334981" w:rsidP="00334981">
            <w:pPr>
              <w:jc w:val="left"/>
              <w:rPr>
                <w:rFonts w:ascii="Aptos" w:hAnsi="Aptos"/>
                <w:sz w:val="24"/>
                <w:szCs w:val="24"/>
              </w:rPr>
            </w:pPr>
            <w:r w:rsidRPr="00664945">
              <w:rPr>
                <w:rFonts w:ascii="Aptos" w:hAnsi="Aptos"/>
                <w:sz w:val="24"/>
                <w:szCs w:val="24"/>
              </w:rPr>
              <w:t>Together or apart</w:t>
            </w:r>
          </w:p>
        </w:tc>
        <w:tc>
          <w:tcPr>
            <w:tcW w:w="2439" w:type="pct"/>
          </w:tcPr>
          <w:p w14:paraId="04E0E719" w14:textId="77777777" w:rsidR="00334981" w:rsidRPr="00664945" w:rsidRDefault="00664945"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A Social Work tool used to help understand the dynamic between brothers and sisters. The assessment helps </w:t>
            </w:r>
            <w:r w:rsidRPr="00664945">
              <w:rPr>
                <w:rFonts w:ascii="Aptos" w:hAnsi="Aptos"/>
                <w:sz w:val="24"/>
                <w:szCs w:val="24"/>
              </w:rPr>
              <w:lastRenderedPageBreak/>
              <w:t xml:space="preserve">practitioners understand what is required to help brothers and sisters thrive </w:t>
            </w:r>
            <w:proofErr w:type="gramStart"/>
            <w:r w:rsidRPr="00664945">
              <w:rPr>
                <w:rFonts w:ascii="Aptos" w:hAnsi="Aptos"/>
                <w:sz w:val="24"/>
                <w:szCs w:val="24"/>
              </w:rPr>
              <w:t>in their own right and</w:t>
            </w:r>
            <w:proofErr w:type="gramEnd"/>
            <w:r w:rsidRPr="00664945">
              <w:rPr>
                <w:rFonts w:ascii="Aptos" w:hAnsi="Aptos"/>
                <w:sz w:val="24"/>
                <w:szCs w:val="24"/>
              </w:rPr>
              <w:t xml:space="preserve"> as part of a sibling group.</w:t>
            </w:r>
          </w:p>
        </w:tc>
        <w:tc>
          <w:tcPr>
            <w:tcW w:w="663" w:type="pct"/>
          </w:tcPr>
          <w:p w14:paraId="430E4BF3"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lastRenderedPageBreak/>
              <w:t>Social Work</w:t>
            </w:r>
          </w:p>
        </w:tc>
        <w:tc>
          <w:tcPr>
            <w:tcW w:w="1239" w:type="pct"/>
          </w:tcPr>
          <w:p w14:paraId="16848704" w14:textId="77777777" w:rsidR="00334981" w:rsidRPr="00664945" w:rsidRDefault="00334981" w:rsidP="00334981">
            <w:pPr>
              <w:jc w:val="left"/>
              <w:cnfStyle w:val="000000100000" w:firstRow="0" w:lastRow="0" w:firstColumn="0" w:lastColumn="0" w:oddVBand="0" w:evenVBand="0" w:oddHBand="1" w:evenHBand="0" w:firstRowFirstColumn="0" w:firstRowLastColumn="0" w:lastRowFirstColumn="0" w:lastRowLastColumn="0"/>
              <w:rPr>
                <w:rFonts w:ascii="Aptos" w:hAnsi="Aptos"/>
                <w:sz w:val="24"/>
                <w:szCs w:val="24"/>
              </w:rPr>
            </w:pPr>
            <w:r w:rsidRPr="00664945">
              <w:rPr>
                <w:rFonts w:ascii="Aptos" w:hAnsi="Aptos"/>
                <w:sz w:val="24"/>
                <w:szCs w:val="24"/>
              </w:rPr>
              <w:t xml:space="preserve">Interchange </w:t>
            </w:r>
          </w:p>
        </w:tc>
      </w:tr>
    </w:tbl>
    <w:p w14:paraId="285C27BF" w14:textId="77777777" w:rsidR="00096573" w:rsidRPr="001A1768" w:rsidRDefault="00096573" w:rsidP="001A1768">
      <w:pPr>
        <w:ind w:left="360"/>
        <w:jc w:val="left"/>
        <w:rPr>
          <w:rFonts w:ascii="Aptos" w:hAnsi="Aptos"/>
          <w:sz w:val="24"/>
          <w:szCs w:val="24"/>
        </w:rPr>
      </w:pPr>
    </w:p>
    <w:p w14:paraId="726D85CD" w14:textId="77777777" w:rsidR="00D41E8D" w:rsidRPr="001A1768" w:rsidRDefault="00D41E8D" w:rsidP="001A1768">
      <w:pPr>
        <w:jc w:val="left"/>
        <w:rPr>
          <w:rFonts w:ascii="Aptos" w:hAnsi="Aptos"/>
          <w:sz w:val="24"/>
          <w:szCs w:val="24"/>
        </w:rPr>
        <w:sectPr w:rsidR="00D41E8D" w:rsidRPr="001A1768" w:rsidSect="00D41E8D">
          <w:pgSz w:w="16838" w:h="11906" w:orient="landscape"/>
          <w:pgMar w:top="1440" w:right="1440" w:bottom="1440" w:left="1440" w:header="708" w:footer="708" w:gutter="0"/>
          <w:cols w:space="708"/>
          <w:docGrid w:linePitch="360"/>
        </w:sectPr>
      </w:pPr>
    </w:p>
    <w:p w14:paraId="6EB30B3F" w14:textId="77777777" w:rsidR="009A49B3" w:rsidRDefault="009A49B3" w:rsidP="001A1768">
      <w:pPr>
        <w:pStyle w:val="Heading1"/>
        <w:numPr>
          <w:ilvl w:val="0"/>
          <w:numId w:val="2"/>
        </w:numPr>
        <w:jc w:val="left"/>
        <w:rPr>
          <w:rFonts w:ascii="Aptos" w:hAnsi="Aptos"/>
          <w:sz w:val="24"/>
          <w:szCs w:val="24"/>
        </w:rPr>
      </w:pPr>
      <w:bookmarkStart w:id="5" w:name="_Toc221091290"/>
      <w:r w:rsidRPr="001A1768">
        <w:rPr>
          <w:rFonts w:ascii="Aptos" w:hAnsi="Aptos"/>
          <w:sz w:val="24"/>
          <w:szCs w:val="24"/>
        </w:rPr>
        <w:lastRenderedPageBreak/>
        <w:t>Implementation Plan</w:t>
      </w:r>
      <w:bookmarkEnd w:id="5"/>
    </w:p>
    <w:p w14:paraId="65C360CD" w14:textId="77777777" w:rsidR="0036154D" w:rsidRDefault="0036154D" w:rsidP="0036154D"/>
    <w:tbl>
      <w:tblPr>
        <w:tblStyle w:val="TableGrid3"/>
        <w:tblW w:w="0" w:type="auto"/>
        <w:tblLook w:val="04A0" w:firstRow="1" w:lastRow="0" w:firstColumn="1" w:lastColumn="0" w:noHBand="0" w:noVBand="1"/>
      </w:tblPr>
      <w:tblGrid>
        <w:gridCol w:w="3321"/>
        <w:gridCol w:w="5695"/>
      </w:tblGrid>
      <w:tr w:rsidR="00C474F8" w:rsidRPr="0007530E" w14:paraId="46FBE493" w14:textId="77777777" w:rsidTr="00075C11">
        <w:tc>
          <w:tcPr>
            <w:tcW w:w="3321" w:type="dxa"/>
            <w:shd w:val="clear" w:color="auto" w:fill="D9D9D9" w:themeFill="background1" w:themeFillShade="D9"/>
          </w:tcPr>
          <w:p w14:paraId="13658E7D" w14:textId="77777777" w:rsidR="00C474F8" w:rsidRPr="0007530E" w:rsidRDefault="00C474F8" w:rsidP="00C474F8">
            <w:r w:rsidRPr="0007530E">
              <w:t>1. Title</w:t>
            </w:r>
            <w:r>
              <w:t xml:space="preserve"> of document</w:t>
            </w:r>
          </w:p>
        </w:tc>
        <w:tc>
          <w:tcPr>
            <w:tcW w:w="5695" w:type="dxa"/>
          </w:tcPr>
          <w:p w14:paraId="3A18081C" w14:textId="77777777" w:rsidR="00C474F8" w:rsidRPr="0007530E" w:rsidRDefault="00C474F8" w:rsidP="00C474F8">
            <w:r w:rsidRPr="00C474F8">
              <w:t>Single and Multi-Agency Assessment Tools Used in Moray</w:t>
            </w:r>
          </w:p>
        </w:tc>
      </w:tr>
      <w:tr w:rsidR="00313A43" w:rsidRPr="0007530E" w14:paraId="2ACBCDE4" w14:textId="77777777" w:rsidTr="00075C11">
        <w:tc>
          <w:tcPr>
            <w:tcW w:w="3321" w:type="dxa"/>
            <w:shd w:val="clear" w:color="auto" w:fill="D9D9D9" w:themeFill="background1" w:themeFillShade="D9"/>
          </w:tcPr>
          <w:p w14:paraId="487CC367" w14:textId="77777777" w:rsidR="00313A43" w:rsidRPr="0007530E" w:rsidRDefault="00313A43" w:rsidP="00075C11">
            <w:r>
              <w:t>2. Owner of document</w:t>
            </w:r>
          </w:p>
        </w:tc>
        <w:tc>
          <w:tcPr>
            <w:tcW w:w="5695" w:type="dxa"/>
          </w:tcPr>
          <w:p w14:paraId="756124C0" w14:textId="77777777" w:rsidR="00313A43" w:rsidRPr="0007530E" w:rsidRDefault="00313A43" w:rsidP="00075C11">
            <w:r>
              <w:t>Child Protection Implementation Group</w:t>
            </w:r>
          </w:p>
        </w:tc>
      </w:tr>
      <w:tr w:rsidR="00313A43" w:rsidRPr="0007530E" w14:paraId="4C198080" w14:textId="77777777" w:rsidTr="00075C11">
        <w:tc>
          <w:tcPr>
            <w:tcW w:w="3321" w:type="dxa"/>
            <w:shd w:val="clear" w:color="auto" w:fill="D9D9D9" w:themeFill="background1" w:themeFillShade="D9"/>
          </w:tcPr>
          <w:p w14:paraId="67A66C48" w14:textId="77777777" w:rsidR="00313A43" w:rsidRDefault="00313A43" w:rsidP="00075C11">
            <w:r w:rsidRPr="0007530E">
              <w:t>3. What is it? (</w:t>
            </w:r>
            <w:r>
              <w:t>e</w:t>
            </w:r>
            <w:r w:rsidRPr="0007530E">
              <w:t>.g.</w:t>
            </w:r>
            <w:r>
              <w:t>,</w:t>
            </w:r>
            <w:r w:rsidRPr="0007530E">
              <w:t xml:space="preserve"> new policy, updated policy, guidance etc.)</w:t>
            </w:r>
          </w:p>
        </w:tc>
        <w:tc>
          <w:tcPr>
            <w:tcW w:w="5695" w:type="dxa"/>
          </w:tcPr>
          <w:p w14:paraId="7694F8CB" w14:textId="77777777" w:rsidR="00313A43" w:rsidRPr="0007530E" w:rsidRDefault="00313A43" w:rsidP="00075C11">
            <w:r>
              <w:t xml:space="preserve">New </w:t>
            </w:r>
            <w:r w:rsidR="00C474F8">
              <w:t>document</w:t>
            </w:r>
            <w:r>
              <w:t xml:space="preserve"> outlining what assessment tools are in use in Moray </w:t>
            </w:r>
          </w:p>
        </w:tc>
      </w:tr>
      <w:tr w:rsidR="00313A43" w:rsidRPr="0007530E" w14:paraId="3D9BA7E9" w14:textId="77777777" w:rsidTr="00075C11">
        <w:tc>
          <w:tcPr>
            <w:tcW w:w="3321" w:type="dxa"/>
            <w:shd w:val="clear" w:color="auto" w:fill="D9D9D9" w:themeFill="background1" w:themeFillShade="D9"/>
          </w:tcPr>
          <w:p w14:paraId="096398FA" w14:textId="77777777" w:rsidR="00313A43" w:rsidRPr="0007530E" w:rsidRDefault="00313A43" w:rsidP="00075C11">
            <w:r>
              <w:t xml:space="preserve">4. Where is it stored? </w:t>
            </w:r>
          </w:p>
        </w:tc>
        <w:tc>
          <w:tcPr>
            <w:tcW w:w="5695" w:type="dxa"/>
          </w:tcPr>
          <w:p w14:paraId="4CF06691" w14:textId="77777777" w:rsidR="00313A43" w:rsidRPr="0007530E" w:rsidRDefault="00313A43" w:rsidP="00075C11">
            <w:r>
              <w:t xml:space="preserve">Moray Protects; Interchange </w:t>
            </w:r>
          </w:p>
        </w:tc>
      </w:tr>
      <w:tr w:rsidR="00313A43" w:rsidRPr="0007530E" w14:paraId="317116C7" w14:textId="77777777" w:rsidTr="00075C11">
        <w:tc>
          <w:tcPr>
            <w:tcW w:w="3321" w:type="dxa"/>
            <w:shd w:val="clear" w:color="auto" w:fill="D9D9D9" w:themeFill="background1" w:themeFillShade="D9"/>
          </w:tcPr>
          <w:p w14:paraId="17856A51" w14:textId="77777777" w:rsidR="00313A43" w:rsidRPr="0007530E" w:rsidRDefault="00313A43" w:rsidP="00075C11">
            <w:r>
              <w:t xml:space="preserve">5. </w:t>
            </w:r>
            <w:r w:rsidRPr="0007530E">
              <w:t>What is the implementation date/timeframe?</w:t>
            </w:r>
          </w:p>
        </w:tc>
        <w:tc>
          <w:tcPr>
            <w:tcW w:w="5695" w:type="dxa"/>
          </w:tcPr>
          <w:p w14:paraId="744C62A4" w14:textId="77777777" w:rsidR="00313A43" w:rsidRPr="0007530E" w:rsidRDefault="00664945" w:rsidP="00075C11">
            <w:r>
              <w:t xml:space="preserve">March </w:t>
            </w:r>
            <w:r w:rsidR="00313A43">
              <w:t>2026</w:t>
            </w:r>
          </w:p>
        </w:tc>
      </w:tr>
      <w:tr w:rsidR="00313A43" w:rsidRPr="0007530E" w14:paraId="08452A7A" w14:textId="77777777" w:rsidTr="00075C11">
        <w:tc>
          <w:tcPr>
            <w:tcW w:w="9016" w:type="dxa"/>
            <w:gridSpan w:val="2"/>
            <w:shd w:val="clear" w:color="auto" w:fill="D9D9D9" w:themeFill="background1" w:themeFillShade="D9"/>
          </w:tcPr>
          <w:p w14:paraId="5A83AB08" w14:textId="77777777" w:rsidR="00313A43" w:rsidRPr="0007530E" w:rsidRDefault="00313A43" w:rsidP="00075C11">
            <w:r>
              <w:t xml:space="preserve">6. </w:t>
            </w:r>
            <w:r w:rsidRPr="0007530E">
              <w:t>Dis</w:t>
            </w:r>
            <w:r>
              <w:t>semination m</w:t>
            </w:r>
            <w:r w:rsidRPr="0007530E">
              <w:t>ethodology</w:t>
            </w:r>
            <w:r>
              <w:t xml:space="preserve"> </w:t>
            </w:r>
            <w:r w:rsidRPr="0007530E">
              <w:t>(e.g</w:t>
            </w:r>
            <w:r>
              <w:t>.</w:t>
            </w:r>
            <w:r w:rsidRPr="0007530E">
              <w:t xml:space="preserve"> Cascade through snr officers and individual services, team meeting approach, Locality approach, </w:t>
            </w:r>
            <w:proofErr w:type="gramStart"/>
            <w:r w:rsidRPr="0007530E">
              <w:t>Launch</w:t>
            </w:r>
            <w:proofErr w:type="gramEnd"/>
            <w:r w:rsidRPr="0007530E">
              <w:t xml:space="preserve"> event, Focus Groups, Event based approach, 7 min Briefings)</w:t>
            </w:r>
          </w:p>
        </w:tc>
      </w:tr>
      <w:tr w:rsidR="00313A43" w:rsidRPr="0007530E" w14:paraId="28F22099" w14:textId="77777777" w:rsidTr="00075C11">
        <w:trPr>
          <w:trHeight w:val="878"/>
        </w:trPr>
        <w:tc>
          <w:tcPr>
            <w:tcW w:w="9016" w:type="dxa"/>
            <w:gridSpan w:val="2"/>
          </w:tcPr>
          <w:p w14:paraId="607B3241" w14:textId="77777777" w:rsidR="00313A43" w:rsidRDefault="00313A43" w:rsidP="00075C11"/>
          <w:p w14:paraId="7143E0B2" w14:textId="77777777" w:rsidR="00313A43" w:rsidRDefault="00313A43" w:rsidP="00075C11">
            <w:r>
              <w:t>Social Work:</w:t>
            </w:r>
          </w:p>
          <w:p w14:paraId="540FFAE2" w14:textId="77777777" w:rsidR="00313A43" w:rsidRDefault="001F2FF7" w:rsidP="00664945">
            <w:pPr>
              <w:pStyle w:val="ListParagraph"/>
              <w:numPr>
                <w:ilvl w:val="0"/>
                <w:numId w:val="14"/>
              </w:numPr>
            </w:pPr>
            <w:r>
              <w:t>Multiagency b</w:t>
            </w:r>
            <w:r w:rsidR="00313A43">
              <w:t>riefing will be cascaded</w:t>
            </w:r>
          </w:p>
          <w:p w14:paraId="04189170" w14:textId="77777777" w:rsidR="00313A43" w:rsidRDefault="00313A43" w:rsidP="00664945">
            <w:pPr>
              <w:pStyle w:val="ListParagraph"/>
              <w:numPr>
                <w:ilvl w:val="0"/>
                <w:numId w:val="14"/>
              </w:numPr>
            </w:pPr>
            <w:r>
              <w:t xml:space="preserve">Covered in the Policy, Development and Commissioning Meeting </w:t>
            </w:r>
          </w:p>
          <w:p w14:paraId="3D90274A" w14:textId="77777777" w:rsidR="00313A43" w:rsidRDefault="00313A43" w:rsidP="00313A43"/>
          <w:p w14:paraId="5E402529" w14:textId="77777777" w:rsidR="00313A43" w:rsidRDefault="00313A43" w:rsidP="00313A43">
            <w:r>
              <w:t xml:space="preserve">Education: </w:t>
            </w:r>
          </w:p>
          <w:p w14:paraId="5DDE8995" w14:textId="77777777" w:rsidR="001F2FF7" w:rsidRDefault="001F2FF7" w:rsidP="00664945">
            <w:pPr>
              <w:pStyle w:val="ListParagraph"/>
              <w:numPr>
                <w:ilvl w:val="0"/>
                <w:numId w:val="13"/>
              </w:numPr>
            </w:pPr>
            <w:r>
              <w:t>Delivered to CP coordinators and Depute coordinators</w:t>
            </w:r>
          </w:p>
          <w:p w14:paraId="3D51045A" w14:textId="77777777" w:rsidR="001F2FF7" w:rsidRDefault="001F2FF7" w:rsidP="00664945">
            <w:pPr>
              <w:pStyle w:val="ListParagraph"/>
              <w:numPr>
                <w:ilvl w:val="0"/>
                <w:numId w:val="13"/>
              </w:numPr>
            </w:pPr>
            <w:r>
              <w:t>Shared in the Education briefing</w:t>
            </w:r>
          </w:p>
          <w:p w14:paraId="6820C7C3" w14:textId="77777777" w:rsidR="00313A43" w:rsidRDefault="001F2FF7" w:rsidP="00664945">
            <w:pPr>
              <w:pStyle w:val="ListParagraph"/>
              <w:numPr>
                <w:ilvl w:val="0"/>
                <w:numId w:val="13"/>
              </w:numPr>
            </w:pPr>
            <w:r>
              <w:t xml:space="preserve">Added as an </w:t>
            </w:r>
            <w:proofErr w:type="gramStart"/>
            <w:r>
              <w:t>appendices</w:t>
            </w:r>
            <w:proofErr w:type="gramEnd"/>
            <w:r>
              <w:t xml:space="preserve"> in the School CP Guidelines</w:t>
            </w:r>
          </w:p>
          <w:p w14:paraId="4C9C603A" w14:textId="77777777" w:rsidR="00313A43" w:rsidRDefault="00313A43" w:rsidP="00313A43"/>
          <w:p w14:paraId="2624697D" w14:textId="77777777" w:rsidR="00313A43" w:rsidRDefault="00313A43" w:rsidP="00313A43">
            <w:r>
              <w:t xml:space="preserve">Health: </w:t>
            </w:r>
          </w:p>
          <w:p w14:paraId="5DEFA0C6" w14:textId="77777777" w:rsidR="00313A43" w:rsidRDefault="00313A43" w:rsidP="00313A43"/>
          <w:p w14:paraId="4CF7A6E4" w14:textId="77777777" w:rsidR="003D1B86" w:rsidRDefault="003D1B86" w:rsidP="00664945">
            <w:pPr>
              <w:pStyle w:val="ListParagraph"/>
              <w:numPr>
                <w:ilvl w:val="0"/>
                <w:numId w:val="11"/>
              </w:numPr>
            </w:pPr>
            <w:r>
              <w:t xml:space="preserve">Will be shared with the Lead nurse for information and sharing via the senior nurse team meeting. </w:t>
            </w:r>
          </w:p>
          <w:p w14:paraId="53CA664C" w14:textId="77777777" w:rsidR="003D1B86" w:rsidRDefault="003D1B86" w:rsidP="00664945">
            <w:pPr>
              <w:pStyle w:val="ListParagraph"/>
              <w:numPr>
                <w:ilvl w:val="0"/>
                <w:numId w:val="11"/>
              </w:numPr>
            </w:pPr>
            <w:r>
              <w:t>Cascaded down via team meetings /</w:t>
            </w:r>
            <w:proofErr w:type="gramStart"/>
            <w:r>
              <w:t>teams</w:t>
            </w:r>
            <w:proofErr w:type="gramEnd"/>
            <w:r>
              <w:t xml:space="preserve"> platform /public health forum</w:t>
            </w:r>
          </w:p>
          <w:p w14:paraId="16C359EA" w14:textId="77777777" w:rsidR="003D1B86" w:rsidRDefault="003D1B86" w:rsidP="00664945">
            <w:pPr>
              <w:pStyle w:val="ListParagraph"/>
              <w:numPr>
                <w:ilvl w:val="0"/>
                <w:numId w:val="11"/>
              </w:numPr>
            </w:pPr>
            <w:r>
              <w:t>Included in the NHS CP intranet page</w:t>
            </w:r>
          </w:p>
          <w:p w14:paraId="5F5D137D" w14:textId="77777777" w:rsidR="003D1B86" w:rsidRDefault="003D1B86" w:rsidP="00313A43"/>
          <w:p w14:paraId="10C18611" w14:textId="77777777" w:rsidR="003D1B86" w:rsidRDefault="003D1B86" w:rsidP="00313A43"/>
          <w:p w14:paraId="6B4103FA" w14:textId="77777777" w:rsidR="00313A43" w:rsidRDefault="00313A43" w:rsidP="00313A43">
            <w:r>
              <w:t>Police</w:t>
            </w:r>
            <w:r w:rsidR="000A0CD9">
              <w:t>; cascade to</w:t>
            </w:r>
            <w:r>
              <w:t>:</w:t>
            </w:r>
          </w:p>
          <w:p w14:paraId="38428ACD" w14:textId="77777777" w:rsidR="000A0CD9" w:rsidRPr="000A0CD9" w:rsidRDefault="000A0CD9" w:rsidP="000A0CD9">
            <w:pPr>
              <w:pStyle w:val="ListParagraph"/>
              <w:numPr>
                <w:ilvl w:val="0"/>
                <w:numId w:val="5"/>
              </w:numPr>
            </w:pPr>
            <w:r w:rsidRPr="000A0CD9">
              <w:t>Local Policing</w:t>
            </w:r>
          </w:p>
          <w:p w14:paraId="6BD3B369" w14:textId="77777777" w:rsidR="000A0CD9" w:rsidRPr="000A0CD9" w:rsidRDefault="000A0CD9" w:rsidP="000A0CD9">
            <w:pPr>
              <w:pStyle w:val="ListParagraph"/>
              <w:numPr>
                <w:ilvl w:val="0"/>
                <w:numId w:val="5"/>
              </w:numPr>
            </w:pPr>
            <w:r w:rsidRPr="000A0CD9">
              <w:t>PPU/CID</w:t>
            </w:r>
          </w:p>
          <w:p w14:paraId="3396B44A" w14:textId="77777777" w:rsidR="000A0CD9" w:rsidRPr="000A0CD9" w:rsidRDefault="000A0CD9" w:rsidP="000A0CD9">
            <w:pPr>
              <w:pStyle w:val="ListParagraph"/>
              <w:numPr>
                <w:ilvl w:val="0"/>
                <w:numId w:val="5"/>
              </w:numPr>
            </w:pPr>
            <w:r w:rsidRPr="000A0CD9">
              <w:t>Prevention &amp; Interventions</w:t>
            </w:r>
          </w:p>
          <w:p w14:paraId="378F3926" w14:textId="77777777" w:rsidR="000A0CD9" w:rsidRPr="000A0CD9" w:rsidRDefault="000A0CD9" w:rsidP="000A0CD9">
            <w:pPr>
              <w:pStyle w:val="ListParagraph"/>
              <w:numPr>
                <w:ilvl w:val="0"/>
                <w:numId w:val="5"/>
              </w:numPr>
            </w:pPr>
            <w:r w:rsidRPr="000A0CD9">
              <w:t>Domestic Safeguarding Team</w:t>
            </w:r>
          </w:p>
          <w:p w14:paraId="0C903E79" w14:textId="77777777" w:rsidR="000A0CD9" w:rsidRDefault="000A0CD9" w:rsidP="00313A43">
            <w:pPr>
              <w:pStyle w:val="ListParagraph"/>
              <w:numPr>
                <w:ilvl w:val="0"/>
                <w:numId w:val="5"/>
              </w:numPr>
            </w:pPr>
            <w:r w:rsidRPr="000A0CD9">
              <w:t>Risk &amp; Concern Hub</w:t>
            </w:r>
            <w:r w:rsidR="00664945">
              <w:t>.</w:t>
            </w:r>
          </w:p>
          <w:p w14:paraId="14B96F5E" w14:textId="77777777" w:rsidR="00313A43" w:rsidRPr="0007530E" w:rsidRDefault="00313A43" w:rsidP="00313A43"/>
        </w:tc>
      </w:tr>
      <w:tr w:rsidR="00313A43" w:rsidRPr="0007530E" w14:paraId="0B0312B5" w14:textId="77777777" w:rsidTr="00075C11">
        <w:tc>
          <w:tcPr>
            <w:tcW w:w="9016" w:type="dxa"/>
            <w:gridSpan w:val="2"/>
            <w:shd w:val="clear" w:color="auto" w:fill="D9D9D9" w:themeFill="background1" w:themeFillShade="D9"/>
          </w:tcPr>
          <w:p w14:paraId="6BD950F1" w14:textId="77777777" w:rsidR="00313A43" w:rsidRPr="0007530E" w:rsidRDefault="00313A43" w:rsidP="00075C11">
            <w:r>
              <w:t>7. Stakeholders (audience), their roles and responsibilities</w:t>
            </w:r>
          </w:p>
        </w:tc>
      </w:tr>
      <w:tr w:rsidR="00313A43" w:rsidRPr="0007530E" w14:paraId="00FEA2F5" w14:textId="77777777" w:rsidTr="00075C11">
        <w:trPr>
          <w:trHeight w:val="1072"/>
        </w:trPr>
        <w:tc>
          <w:tcPr>
            <w:tcW w:w="9016" w:type="dxa"/>
            <w:gridSpan w:val="2"/>
          </w:tcPr>
          <w:p w14:paraId="0FF165A0" w14:textId="77777777" w:rsidR="00313A43" w:rsidRDefault="00313A43" w:rsidP="00313A43"/>
          <w:p w14:paraId="3AD4639F" w14:textId="77777777" w:rsidR="00313A43" w:rsidRPr="0007530E" w:rsidRDefault="00313A43" w:rsidP="00313A43">
            <w:r>
              <w:t>Practitioners across the partnership are responsible for ensuring that the appropriate tools are used with the families with who</w:t>
            </w:r>
            <w:r w:rsidR="00C474F8">
              <w:t>m</w:t>
            </w:r>
            <w:r>
              <w:t xml:space="preserve"> they work. </w:t>
            </w:r>
          </w:p>
        </w:tc>
      </w:tr>
      <w:tr w:rsidR="00313A43" w:rsidRPr="0007530E" w14:paraId="74226231" w14:textId="77777777" w:rsidTr="00075C11">
        <w:trPr>
          <w:trHeight w:val="320"/>
        </w:trPr>
        <w:tc>
          <w:tcPr>
            <w:tcW w:w="9016" w:type="dxa"/>
            <w:gridSpan w:val="2"/>
            <w:shd w:val="clear" w:color="auto" w:fill="D9D9D9" w:themeFill="background1" w:themeFillShade="D9"/>
          </w:tcPr>
          <w:p w14:paraId="43BE3C76" w14:textId="77777777" w:rsidR="00313A43" w:rsidRPr="0007530E" w:rsidRDefault="00313A43" w:rsidP="00075C11">
            <w:r>
              <w:t>8</w:t>
            </w:r>
            <w:r w:rsidRPr="00154963">
              <w:t>. Training Needs Assessment</w:t>
            </w:r>
          </w:p>
        </w:tc>
      </w:tr>
      <w:tr w:rsidR="00313A43" w:rsidRPr="0007530E" w14:paraId="5C861504" w14:textId="77777777" w:rsidTr="00075C11">
        <w:tc>
          <w:tcPr>
            <w:tcW w:w="9016" w:type="dxa"/>
            <w:gridSpan w:val="2"/>
          </w:tcPr>
          <w:tbl>
            <w:tblPr>
              <w:tblStyle w:val="TableGrid"/>
              <w:tblW w:w="5000" w:type="pct"/>
              <w:tblLook w:val="04A0" w:firstRow="1" w:lastRow="0" w:firstColumn="1" w:lastColumn="0" w:noHBand="0" w:noVBand="1"/>
            </w:tblPr>
            <w:tblGrid>
              <w:gridCol w:w="1366"/>
              <w:gridCol w:w="445"/>
              <w:gridCol w:w="1783"/>
              <w:gridCol w:w="445"/>
              <w:gridCol w:w="1336"/>
              <w:gridCol w:w="594"/>
              <w:gridCol w:w="2227"/>
              <w:gridCol w:w="594"/>
            </w:tblGrid>
            <w:tr w:rsidR="00313A43" w:rsidRPr="0007530E" w14:paraId="00B35F78" w14:textId="77777777" w:rsidTr="00075C11">
              <w:tc>
                <w:tcPr>
                  <w:tcW w:w="1030" w:type="pct"/>
                  <w:gridSpan w:val="2"/>
                  <w:shd w:val="clear" w:color="auto" w:fill="D9D9D9" w:themeFill="background1" w:themeFillShade="D9"/>
                  <w:vAlign w:val="center"/>
                </w:tcPr>
                <w:p w14:paraId="661DE99C" w14:textId="77777777" w:rsidR="00313A43" w:rsidRPr="00077594" w:rsidRDefault="00313A43" w:rsidP="00075C11">
                  <w:pPr>
                    <w:rPr>
                      <w:rFonts w:cstheme="minorHAnsi"/>
                    </w:rPr>
                  </w:pPr>
                  <w:r w:rsidRPr="00077594">
                    <w:rPr>
                      <w:rFonts w:cstheme="minorHAnsi"/>
                    </w:rPr>
                    <w:t>Nature</w:t>
                  </w:r>
                </w:p>
              </w:tc>
              <w:tc>
                <w:tcPr>
                  <w:tcW w:w="1267" w:type="pct"/>
                  <w:gridSpan w:val="2"/>
                  <w:shd w:val="clear" w:color="auto" w:fill="D9D9D9" w:themeFill="background1" w:themeFillShade="D9"/>
                  <w:vAlign w:val="center"/>
                </w:tcPr>
                <w:p w14:paraId="2497F099" w14:textId="77777777" w:rsidR="00313A43" w:rsidRPr="00077594" w:rsidRDefault="00313A43" w:rsidP="00075C11">
                  <w:pPr>
                    <w:rPr>
                      <w:rFonts w:cstheme="minorHAnsi"/>
                    </w:rPr>
                  </w:pPr>
                  <w:r w:rsidRPr="00077594">
                    <w:rPr>
                      <w:rFonts w:cstheme="minorHAnsi"/>
                    </w:rPr>
                    <w:t>Scope</w:t>
                  </w:r>
                </w:p>
              </w:tc>
              <w:tc>
                <w:tcPr>
                  <w:tcW w:w="1098" w:type="pct"/>
                  <w:gridSpan w:val="2"/>
                  <w:shd w:val="clear" w:color="auto" w:fill="D9D9D9" w:themeFill="background1" w:themeFillShade="D9"/>
                  <w:vAlign w:val="center"/>
                </w:tcPr>
                <w:p w14:paraId="73F5D8C6" w14:textId="77777777" w:rsidR="00313A43" w:rsidRPr="00077594" w:rsidRDefault="00313A43" w:rsidP="00075C11">
                  <w:pPr>
                    <w:rPr>
                      <w:rFonts w:cstheme="minorHAnsi"/>
                    </w:rPr>
                  </w:pPr>
                  <w:r w:rsidRPr="00077594">
                    <w:rPr>
                      <w:rFonts w:cstheme="minorHAnsi"/>
                    </w:rPr>
                    <w:t>Delivery Format</w:t>
                  </w:r>
                </w:p>
              </w:tc>
              <w:tc>
                <w:tcPr>
                  <w:tcW w:w="1605" w:type="pct"/>
                  <w:gridSpan w:val="2"/>
                  <w:shd w:val="clear" w:color="auto" w:fill="D9D9D9" w:themeFill="background1" w:themeFillShade="D9"/>
                </w:tcPr>
                <w:p w14:paraId="398A10CD" w14:textId="77777777" w:rsidR="00313A43" w:rsidRPr="00077594" w:rsidRDefault="00313A43" w:rsidP="00075C11">
                  <w:pPr>
                    <w:rPr>
                      <w:rFonts w:cstheme="minorHAnsi"/>
                    </w:rPr>
                  </w:pPr>
                  <w:r w:rsidRPr="00077594">
                    <w:rPr>
                      <w:rFonts w:cstheme="minorHAnsi"/>
                    </w:rPr>
                    <w:t>Resource</w:t>
                  </w:r>
                </w:p>
              </w:tc>
            </w:tr>
            <w:tr w:rsidR="00313A43" w:rsidRPr="0007530E" w14:paraId="0074D39E" w14:textId="77777777" w:rsidTr="00075C11">
              <w:tc>
                <w:tcPr>
                  <w:tcW w:w="777" w:type="pct"/>
                  <w:shd w:val="clear" w:color="auto" w:fill="D9D9D9" w:themeFill="background1" w:themeFillShade="D9"/>
                </w:tcPr>
                <w:p w14:paraId="7C622DA5" w14:textId="77777777" w:rsidR="00313A43" w:rsidRPr="00077594" w:rsidRDefault="00313A43" w:rsidP="00075C11">
                  <w:pPr>
                    <w:rPr>
                      <w:rFonts w:cstheme="minorHAnsi"/>
                    </w:rPr>
                  </w:pPr>
                  <w:r w:rsidRPr="00077594">
                    <w:rPr>
                      <w:rFonts w:cstheme="minorHAnsi"/>
                    </w:rPr>
                    <w:t>One-off</w:t>
                  </w:r>
                </w:p>
              </w:tc>
              <w:tc>
                <w:tcPr>
                  <w:tcW w:w="253" w:type="pct"/>
                </w:tcPr>
                <w:p w14:paraId="5D7E15D7" w14:textId="77777777" w:rsidR="00313A43" w:rsidRPr="00077594" w:rsidRDefault="00313A43" w:rsidP="00075C11">
                  <w:pPr>
                    <w:rPr>
                      <w:rFonts w:cstheme="minorHAnsi"/>
                    </w:rPr>
                  </w:pPr>
                </w:p>
              </w:tc>
              <w:tc>
                <w:tcPr>
                  <w:tcW w:w="1014" w:type="pct"/>
                  <w:shd w:val="clear" w:color="auto" w:fill="D9D9D9" w:themeFill="background1" w:themeFillShade="D9"/>
                </w:tcPr>
                <w:p w14:paraId="4918CB12" w14:textId="77777777" w:rsidR="00313A43" w:rsidRPr="00077594" w:rsidRDefault="00313A43" w:rsidP="00075C11">
                  <w:pPr>
                    <w:rPr>
                      <w:rFonts w:cstheme="minorHAnsi"/>
                    </w:rPr>
                  </w:pPr>
                  <w:r w:rsidRPr="00077594">
                    <w:rPr>
                      <w:rFonts w:cstheme="minorHAnsi"/>
                    </w:rPr>
                    <w:t>Single Agency</w:t>
                  </w:r>
                </w:p>
              </w:tc>
              <w:tc>
                <w:tcPr>
                  <w:tcW w:w="253" w:type="pct"/>
                </w:tcPr>
                <w:p w14:paraId="573355F1" w14:textId="77777777" w:rsidR="00313A43" w:rsidRPr="00077594" w:rsidRDefault="00313A43" w:rsidP="00075C11">
                  <w:pPr>
                    <w:rPr>
                      <w:rFonts w:cstheme="minorHAnsi"/>
                    </w:rPr>
                  </w:pPr>
                </w:p>
              </w:tc>
              <w:tc>
                <w:tcPr>
                  <w:tcW w:w="760" w:type="pct"/>
                  <w:shd w:val="clear" w:color="auto" w:fill="D9D9D9" w:themeFill="background1" w:themeFillShade="D9"/>
                </w:tcPr>
                <w:p w14:paraId="6774E7AC" w14:textId="77777777" w:rsidR="00313A43" w:rsidRPr="00077594" w:rsidRDefault="00313A43" w:rsidP="00075C11">
                  <w:pPr>
                    <w:rPr>
                      <w:rFonts w:cstheme="minorHAnsi"/>
                    </w:rPr>
                  </w:pPr>
                  <w:r w:rsidRPr="00077594">
                    <w:rPr>
                      <w:rFonts w:cstheme="minorHAnsi"/>
                    </w:rPr>
                    <w:t>Self-led</w:t>
                  </w:r>
                </w:p>
              </w:tc>
              <w:tc>
                <w:tcPr>
                  <w:tcW w:w="338" w:type="pct"/>
                </w:tcPr>
                <w:p w14:paraId="0AE8AB9F" w14:textId="77777777" w:rsidR="00313A43" w:rsidRPr="00077594" w:rsidRDefault="00313A43" w:rsidP="00075C11">
                  <w:pPr>
                    <w:rPr>
                      <w:rFonts w:cstheme="minorHAnsi"/>
                    </w:rPr>
                  </w:pPr>
                </w:p>
              </w:tc>
              <w:tc>
                <w:tcPr>
                  <w:tcW w:w="1267" w:type="pct"/>
                  <w:shd w:val="clear" w:color="auto" w:fill="D9D9D9" w:themeFill="background1" w:themeFillShade="D9"/>
                </w:tcPr>
                <w:p w14:paraId="1B0CA916" w14:textId="77777777" w:rsidR="00313A43" w:rsidRPr="00077594" w:rsidRDefault="00313A43" w:rsidP="00075C11">
                  <w:pPr>
                    <w:rPr>
                      <w:rFonts w:cstheme="minorHAnsi"/>
                    </w:rPr>
                  </w:pPr>
                  <w:r w:rsidRPr="00077594">
                    <w:rPr>
                      <w:rFonts w:cstheme="minorHAnsi"/>
                    </w:rPr>
                    <w:t>Met within existing</w:t>
                  </w:r>
                </w:p>
              </w:tc>
              <w:tc>
                <w:tcPr>
                  <w:tcW w:w="338" w:type="pct"/>
                </w:tcPr>
                <w:p w14:paraId="4FBF7EEB" w14:textId="77777777" w:rsidR="00313A43" w:rsidRPr="00077594" w:rsidRDefault="00313A43" w:rsidP="00075C11">
                  <w:pPr>
                    <w:rPr>
                      <w:rFonts w:cstheme="minorHAnsi"/>
                    </w:rPr>
                  </w:pPr>
                </w:p>
              </w:tc>
            </w:tr>
            <w:tr w:rsidR="00313A43" w:rsidRPr="0007530E" w14:paraId="7191C816" w14:textId="77777777" w:rsidTr="00075C11">
              <w:tc>
                <w:tcPr>
                  <w:tcW w:w="777" w:type="pct"/>
                  <w:shd w:val="clear" w:color="auto" w:fill="D9D9D9" w:themeFill="background1" w:themeFillShade="D9"/>
                </w:tcPr>
                <w:p w14:paraId="1CE70A80" w14:textId="77777777" w:rsidR="00313A43" w:rsidRPr="00077594" w:rsidRDefault="00313A43" w:rsidP="00075C11">
                  <w:pPr>
                    <w:rPr>
                      <w:rFonts w:cstheme="minorHAnsi"/>
                    </w:rPr>
                  </w:pPr>
                  <w:r w:rsidRPr="00077594">
                    <w:rPr>
                      <w:rFonts w:cstheme="minorHAnsi"/>
                    </w:rPr>
                    <w:t>Ongoing</w:t>
                  </w:r>
                </w:p>
              </w:tc>
              <w:tc>
                <w:tcPr>
                  <w:tcW w:w="253" w:type="pct"/>
                </w:tcPr>
                <w:p w14:paraId="668A8985" w14:textId="77777777" w:rsidR="00313A43" w:rsidRPr="00077594" w:rsidRDefault="00313A43" w:rsidP="00075C11">
                  <w:pPr>
                    <w:rPr>
                      <w:rFonts w:cstheme="minorHAnsi"/>
                    </w:rPr>
                  </w:pPr>
                </w:p>
              </w:tc>
              <w:tc>
                <w:tcPr>
                  <w:tcW w:w="1014" w:type="pct"/>
                  <w:shd w:val="clear" w:color="auto" w:fill="D9D9D9" w:themeFill="background1" w:themeFillShade="D9"/>
                </w:tcPr>
                <w:p w14:paraId="6BCAA16C" w14:textId="77777777" w:rsidR="00313A43" w:rsidRPr="00077594" w:rsidRDefault="00313A43" w:rsidP="00075C11">
                  <w:pPr>
                    <w:rPr>
                      <w:rFonts w:cstheme="minorHAnsi"/>
                    </w:rPr>
                  </w:pPr>
                  <w:r w:rsidRPr="00077594">
                    <w:rPr>
                      <w:rFonts w:cstheme="minorHAnsi"/>
                    </w:rPr>
                    <w:t>Multi-agency</w:t>
                  </w:r>
                </w:p>
              </w:tc>
              <w:tc>
                <w:tcPr>
                  <w:tcW w:w="253" w:type="pct"/>
                </w:tcPr>
                <w:p w14:paraId="579F962F" w14:textId="77777777" w:rsidR="00313A43" w:rsidRPr="00077594" w:rsidRDefault="00313A43" w:rsidP="00075C11">
                  <w:pPr>
                    <w:rPr>
                      <w:rFonts w:cstheme="minorHAnsi"/>
                    </w:rPr>
                  </w:pPr>
                </w:p>
              </w:tc>
              <w:tc>
                <w:tcPr>
                  <w:tcW w:w="760" w:type="pct"/>
                  <w:shd w:val="clear" w:color="auto" w:fill="D9D9D9" w:themeFill="background1" w:themeFillShade="D9"/>
                </w:tcPr>
                <w:p w14:paraId="20515CEC" w14:textId="77777777" w:rsidR="00313A43" w:rsidRPr="00077594" w:rsidRDefault="00313A43" w:rsidP="00075C11">
                  <w:pPr>
                    <w:rPr>
                      <w:rFonts w:cstheme="minorHAnsi"/>
                    </w:rPr>
                  </w:pPr>
                  <w:r w:rsidRPr="00077594">
                    <w:rPr>
                      <w:rFonts w:cstheme="minorHAnsi"/>
                    </w:rPr>
                    <w:t>Facilitated</w:t>
                  </w:r>
                </w:p>
              </w:tc>
              <w:tc>
                <w:tcPr>
                  <w:tcW w:w="338" w:type="pct"/>
                </w:tcPr>
                <w:p w14:paraId="6C668706" w14:textId="77777777" w:rsidR="00313A43" w:rsidRPr="00077594" w:rsidRDefault="00313A43" w:rsidP="00075C11">
                  <w:pPr>
                    <w:rPr>
                      <w:rFonts w:cstheme="minorHAnsi"/>
                    </w:rPr>
                  </w:pPr>
                </w:p>
              </w:tc>
              <w:tc>
                <w:tcPr>
                  <w:tcW w:w="1267" w:type="pct"/>
                  <w:shd w:val="clear" w:color="auto" w:fill="D9D9D9" w:themeFill="background1" w:themeFillShade="D9"/>
                </w:tcPr>
                <w:p w14:paraId="3456E159" w14:textId="77777777" w:rsidR="00313A43" w:rsidRPr="00077594" w:rsidRDefault="00313A43" w:rsidP="00075C11">
                  <w:pPr>
                    <w:rPr>
                      <w:rFonts w:cstheme="minorHAnsi"/>
                    </w:rPr>
                  </w:pPr>
                  <w:r w:rsidRPr="00077594">
                    <w:rPr>
                      <w:rFonts w:cstheme="minorHAnsi"/>
                    </w:rPr>
                    <w:t>Resource required</w:t>
                  </w:r>
                </w:p>
              </w:tc>
              <w:tc>
                <w:tcPr>
                  <w:tcW w:w="338" w:type="pct"/>
                </w:tcPr>
                <w:p w14:paraId="040FEA07" w14:textId="77777777" w:rsidR="00313A43" w:rsidRPr="00077594" w:rsidRDefault="00313A43" w:rsidP="00075C11">
                  <w:pPr>
                    <w:rPr>
                      <w:rFonts w:cstheme="minorHAnsi"/>
                    </w:rPr>
                  </w:pPr>
                </w:p>
              </w:tc>
            </w:tr>
          </w:tbl>
          <w:p w14:paraId="00B5E104" w14:textId="77777777" w:rsidR="00313A43" w:rsidRPr="0007530E" w:rsidRDefault="00313A43" w:rsidP="00075C11"/>
        </w:tc>
      </w:tr>
      <w:tr w:rsidR="00313A43" w:rsidRPr="0007530E" w14:paraId="5992F7E2" w14:textId="77777777" w:rsidTr="00075C11">
        <w:trPr>
          <w:trHeight w:val="958"/>
        </w:trPr>
        <w:tc>
          <w:tcPr>
            <w:tcW w:w="9016" w:type="dxa"/>
            <w:gridSpan w:val="2"/>
          </w:tcPr>
          <w:p w14:paraId="1EE12DFF" w14:textId="77777777" w:rsidR="00313A43" w:rsidRDefault="00313A43" w:rsidP="00075C11">
            <w:r>
              <w:lastRenderedPageBreak/>
              <w:t>Details</w:t>
            </w:r>
          </w:p>
          <w:p w14:paraId="3FAE5206" w14:textId="77777777" w:rsidR="00313A43" w:rsidRDefault="00313A43" w:rsidP="00075C11"/>
          <w:p w14:paraId="1D8D8779" w14:textId="77777777" w:rsidR="00313A43" w:rsidRPr="0007530E" w:rsidRDefault="00313A43" w:rsidP="00075C11">
            <w:r>
              <w:t>None needed</w:t>
            </w:r>
            <w:r w:rsidR="00C474F8">
              <w:t>; training available on individual assessment tools on a single or multiagency basis</w:t>
            </w:r>
          </w:p>
        </w:tc>
      </w:tr>
      <w:tr w:rsidR="00313A43" w:rsidRPr="0007530E" w14:paraId="0BC12ECF" w14:textId="77777777" w:rsidTr="00075C11">
        <w:tc>
          <w:tcPr>
            <w:tcW w:w="9016" w:type="dxa"/>
            <w:gridSpan w:val="2"/>
            <w:shd w:val="clear" w:color="auto" w:fill="D9D9D9" w:themeFill="background1" w:themeFillShade="D9"/>
          </w:tcPr>
          <w:p w14:paraId="763C8B84" w14:textId="77777777" w:rsidR="00313A43" w:rsidRPr="0007530E" w:rsidRDefault="00313A43" w:rsidP="00075C11">
            <w:r>
              <w:t xml:space="preserve">9. </w:t>
            </w:r>
            <w:r w:rsidRPr="0007530E">
              <w:t>Impact</w:t>
            </w:r>
            <w:r>
              <w:t xml:space="preserve">: </w:t>
            </w:r>
            <w:r w:rsidRPr="0007530E">
              <w:t xml:space="preserve">What would you expect to see </w:t>
            </w:r>
            <w:proofErr w:type="gramStart"/>
            <w:r w:rsidRPr="0007530E">
              <w:t>as a consequence</w:t>
            </w:r>
            <w:proofErr w:type="gramEnd"/>
            <w:r w:rsidRPr="0007530E">
              <w:t xml:space="preserve"> and where would you look for impact?</w:t>
            </w:r>
            <w:r>
              <w:t xml:space="preserve"> (e.g. c</w:t>
            </w:r>
            <w:r w:rsidRPr="0007530E">
              <w:t>ase file reading</w:t>
            </w:r>
            <w:r>
              <w:t>, r</w:t>
            </w:r>
            <w:r w:rsidRPr="0007530E">
              <w:t>ecording processes</w:t>
            </w:r>
            <w:r>
              <w:t xml:space="preserve">, </w:t>
            </w:r>
            <w:r w:rsidRPr="0007530E">
              <w:t>Focus groups of parents/carers and families, and staff</w:t>
            </w:r>
            <w:r>
              <w:t>)</w:t>
            </w:r>
          </w:p>
        </w:tc>
      </w:tr>
      <w:tr w:rsidR="00313A43" w:rsidRPr="0007530E" w14:paraId="432DE144" w14:textId="77777777" w:rsidTr="00075C11">
        <w:trPr>
          <w:trHeight w:val="1200"/>
        </w:trPr>
        <w:tc>
          <w:tcPr>
            <w:tcW w:w="9016" w:type="dxa"/>
            <w:gridSpan w:val="2"/>
          </w:tcPr>
          <w:p w14:paraId="0D2D6563" w14:textId="77777777" w:rsidR="00313A43" w:rsidRDefault="00313A43" w:rsidP="00075C11"/>
          <w:p w14:paraId="2197448F" w14:textId="77777777" w:rsidR="00313A43" w:rsidRPr="0007530E" w:rsidRDefault="00313A43" w:rsidP="00075C11">
            <w:r>
              <w:t xml:space="preserve">Clarity around the used assessment tools will not feature in multiagency learning reviews or other quality assurance activities. </w:t>
            </w:r>
          </w:p>
        </w:tc>
      </w:tr>
    </w:tbl>
    <w:p w14:paraId="5227B3D6" w14:textId="77777777" w:rsidR="00313A43" w:rsidRPr="0036154D" w:rsidRDefault="00313A43" w:rsidP="0036154D"/>
    <w:sectPr w:rsidR="00313A43" w:rsidRPr="003615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E071" w14:textId="77777777" w:rsidR="00A6112D" w:rsidRDefault="00A6112D" w:rsidP="001C27E0">
      <w:pPr>
        <w:spacing w:after="0" w:line="240" w:lineRule="auto"/>
      </w:pPr>
      <w:r>
        <w:separator/>
      </w:r>
    </w:p>
  </w:endnote>
  <w:endnote w:type="continuationSeparator" w:id="0">
    <w:p w14:paraId="4769EA31" w14:textId="77777777" w:rsidR="00A6112D" w:rsidRDefault="00A6112D" w:rsidP="001C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229120"/>
      <w:docPartObj>
        <w:docPartGallery w:val="Page Numbers (Bottom of Page)"/>
        <w:docPartUnique/>
      </w:docPartObj>
    </w:sdtPr>
    <w:sdtEndPr/>
    <w:sdtContent>
      <w:sdt>
        <w:sdtPr>
          <w:id w:val="-1705238520"/>
          <w:docPartObj>
            <w:docPartGallery w:val="Page Numbers (Top of Page)"/>
            <w:docPartUnique/>
          </w:docPartObj>
        </w:sdtPr>
        <w:sdtEndPr/>
        <w:sdtContent>
          <w:p w14:paraId="35C6DF83" w14:textId="77777777" w:rsidR="001C27E0" w:rsidRDefault="001C27E0">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79706B" w14:textId="77777777" w:rsidR="001C27E0" w:rsidRDefault="001C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86E5" w14:textId="77777777" w:rsidR="00A6112D" w:rsidRDefault="00A6112D" w:rsidP="001C27E0">
      <w:pPr>
        <w:spacing w:after="0" w:line="240" w:lineRule="auto"/>
      </w:pPr>
      <w:r>
        <w:separator/>
      </w:r>
    </w:p>
  </w:footnote>
  <w:footnote w:type="continuationSeparator" w:id="0">
    <w:p w14:paraId="7A1DFEE1" w14:textId="77777777" w:rsidR="00A6112D" w:rsidRDefault="00A6112D" w:rsidP="001C2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B65"/>
    <w:multiLevelType w:val="hybridMultilevel"/>
    <w:tmpl w:val="36F25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63338"/>
    <w:multiLevelType w:val="hybridMultilevel"/>
    <w:tmpl w:val="B1687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2A4A16"/>
    <w:multiLevelType w:val="hybridMultilevel"/>
    <w:tmpl w:val="3002047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49578E"/>
    <w:multiLevelType w:val="hybridMultilevel"/>
    <w:tmpl w:val="A2BA504C"/>
    <w:lvl w:ilvl="0" w:tplc="A2AC221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03BDE"/>
    <w:multiLevelType w:val="hybridMultilevel"/>
    <w:tmpl w:val="85D01E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8E90578"/>
    <w:multiLevelType w:val="hybridMultilevel"/>
    <w:tmpl w:val="01989C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CA20E0"/>
    <w:multiLevelType w:val="hybridMultilevel"/>
    <w:tmpl w:val="BA805B24"/>
    <w:lvl w:ilvl="0" w:tplc="398C119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C94F61"/>
    <w:multiLevelType w:val="hybridMultilevel"/>
    <w:tmpl w:val="FDC07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3735BF"/>
    <w:multiLevelType w:val="hybridMultilevel"/>
    <w:tmpl w:val="3E6286F4"/>
    <w:lvl w:ilvl="0" w:tplc="AB905B2C">
      <w:start w:val="1"/>
      <w:numFmt w:val="bullet"/>
      <w:lvlText w:val=""/>
      <w:lvlJc w:val="left"/>
      <w:pPr>
        <w:tabs>
          <w:tab w:val="num" w:pos="720"/>
        </w:tabs>
        <w:ind w:left="720" w:hanging="360"/>
      </w:pPr>
      <w:rPr>
        <w:rFonts w:ascii="Wingdings 3" w:hAnsi="Wingdings 3" w:hint="default"/>
      </w:rPr>
    </w:lvl>
    <w:lvl w:ilvl="1" w:tplc="3C92FFAE" w:tentative="1">
      <w:start w:val="1"/>
      <w:numFmt w:val="bullet"/>
      <w:lvlText w:val=""/>
      <w:lvlJc w:val="left"/>
      <w:pPr>
        <w:tabs>
          <w:tab w:val="num" w:pos="1440"/>
        </w:tabs>
        <w:ind w:left="1440" w:hanging="360"/>
      </w:pPr>
      <w:rPr>
        <w:rFonts w:ascii="Wingdings 3" w:hAnsi="Wingdings 3" w:hint="default"/>
      </w:rPr>
    </w:lvl>
    <w:lvl w:ilvl="2" w:tplc="412A461C" w:tentative="1">
      <w:start w:val="1"/>
      <w:numFmt w:val="bullet"/>
      <w:lvlText w:val=""/>
      <w:lvlJc w:val="left"/>
      <w:pPr>
        <w:tabs>
          <w:tab w:val="num" w:pos="2160"/>
        </w:tabs>
        <w:ind w:left="2160" w:hanging="360"/>
      </w:pPr>
      <w:rPr>
        <w:rFonts w:ascii="Wingdings 3" w:hAnsi="Wingdings 3" w:hint="default"/>
      </w:rPr>
    </w:lvl>
    <w:lvl w:ilvl="3" w:tplc="0ABC09A8" w:tentative="1">
      <w:start w:val="1"/>
      <w:numFmt w:val="bullet"/>
      <w:lvlText w:val=""/>
      <w:lvlJc w:val="left"/>
      <w:pPr>
        <w:tabs>
          <w:tab w:val="num" w:pos="2880"/>
        </w:tabs>
        <w:ind w:left="2880" w:hanging="360"/>
      </w:pPr>
      <w:rPr>
        <w:rFonts w:ascii="Wingdings 3" w:hAnsi="Wingdings 3" w:hint="default"/>
      </w:rPr>
    </w:lvl>
    <w:lvl w:ilvl="4" w:tplc="D32A8C14" w:tentative="1">
      <w:start w:val="1"/>
      <w:numFmt w:val="bullet"/>
      <w:lvlText w:val=""/>
      <w:lvlJc w:val="left"/>
      <w:pPr>
        <w:tabs>
          <w:tab w:val="num" w:pos="3600"/>
        </w:tabs>
        <w:ind w:left="3600" w:hanging="360"/>
      </w:pPr>
      <w:rPr>
        <w:rFonts w:ascii="Wingdings 3" w:hAnsi="Wingdings 3" w:hint="default"/>
      </w:rPr>
    </w:lvl>
    <w:lvl w:ilvl="5" w:tplc="818C7FE2" w:tentative="1">
      <w:start w:val="1"/>
      <w:numFmt w:val="bullet"/>
      <w:lvlText w:val=""/>
      <w:lvlJc w:val="left"/>
      <w:pPr>
        <w:tabs>
          <w:tab w:val="num" w:pos="4320"/>
        </w:tabs>
        <w:ind w:left="4320" w:hanging="360"/>
      </w:pPr>
      <w:rPr>
        <w:rFonts w:ascii="Wingdings 3" w:hAnsi="Wingdings 3" w:hint="default"/>
      </w:rPr>
    </w:lvl>
    <w:lvl w:ilvl="6" w:tplc="8C3A0EDA" w:tentative="1">
      <w:start w:val="1"/>
      <w:numFmt w:val="bullet"/>
      <w:lvlText w:val=""/>
      <w:lvlJc w:val="left"/>
      <w:pPr>
        <w:tabs>
          <w:tab w:val="num" w:pos="5040"/>
        </w:tabs>
        <w:ind w:left="5040" w:hanging="360"/>
      </w:pPr>
      <w:rPr>
        <w:rFonts w:ascii="Wingdings 3" w:hAnsi="Wingdings 3" w:hint="default"/>
      </w:rPr>
    </w:lvl>
    <w:lvl w:ilvl="7" w:tplc="0CA6B8AA" w:tentative="1">
      <w:start w:val="1"/>
      <w:numFmt w:val="bullet"/>
      <w:lvlText w:val=""/>
      <w:lvlJc w:val="left"/>
      <w:pPr>
        <w:tabs>
          <w:tab w:val="num" w:pos="5760"/>
        </w:tabs>
        <w:ind w:left="5760" w:hanging="360"/>
      </w:pPr>
      <w:rPr>
        <w:rFonts w:ascii="Wingdings 3" w:hAnsi="Wingdings 3" w:hint="default"/>
      </w:rPr>
    </w:lvl>
    <w:lvl w:ilvl="8" w:tplc="D58024C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63FA3976"/>
    <w:multiLevelType w:val="hybridMultilevel"/>
    <w:tmpl w:val="17F0CC7C"/>
    <w:lvl w:ilvl="0" w:tplc="782EE11C">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61A27"/>
    <w:multiLevelType w:val="hybridMultilevel"/>
    <w:tmpl w:val="10808428"/>
    <w:lvl w:ilvl="0" w:tplc="5672CE52">
      <w:start w:val="1"/>
      <w:numFmt w:val="bullet"/>
      <w:lvlText w:val=""/>
      <w:lvlJc w:val="left"/>
      <w:pPr>
        <w:tabs>
          <w:tab w:val="num" w:pos="720"/>
        </w:tabs>
        <w:ind w:left="720" w:hanging="360"/>
      </w:pPr>
      <w:rPr>
        <w:rFonts w:ascii="Wingdings 3" w:hAnsi="Wingdings 3" w:hint="default"/>
      </w:rPr>
    </w:lvl>
    <w:lvl w:ilvl="1" w:tplc="A8A07484" w:tentative="1">
      <w:start w:val="1"/>
      <w:numFmt w:val="bullet"/>
      <w:lvlText w:val=""/>
      <w:lvlJc w:val="left"/>
      <w:pPr>
        <w:tabs>
          <w:tab w:val="num" w:pos="1440"/>
        </w:tabs>
        <w:ind w:left="1440" w:hanging="360"/>
      </w:pPr>
      <w:rPr>
        <w:rFonts w:ascii="Wingdings 3" w:hAnsi="Wingdings 3" w:hint="default"/>
      </w:rPr>
    </w:lvl>
    <w:lvl w:ilvl="2" w:tplc="6C2C5BC2" w:tentative="1">
      <w:start w:val="1"/>
      <w:numFmt w:val="bullet"/>
      <w:lvlText w:val=""/>
      <w:lvlJc w:val="left"/>
      <w:pPr>
        <w:tabs>
          <w:tab w:val="num" w:pos="2160"/>
        </w:tabs>
        <w:ind w:left="2160" w:hanging="360"/>
      </w:pPr>
      <w:rPr>
        <w:rFonts w:ascii="Wingdings 3" w:hAnsi="Wingdings 3" w:hint="default"/>
      </w:rPr>
    </w:lvl>
    <w:lvl w:ilvl="3" w:tplc="A4E8C390" w:tentative="1">
      <w:start w:val="1"/>
      <w:numFmt w:val="bullet"/>
      <w:lvlText w:val=""/>
      <w:lvlJc w:val="left"/>
      <w:pPr>
        <w:tabs>
          <w:tab w:val="num" w:pos="2880"/>
        </w:tabs>
        <w:ind w:left="2880" w:hanging="360"/>
      </w:pPr>
      <w:rPr>
        <w:rFonts w:ascii="Wingdings 3" w:hAnsi="Wingdings 3" w:hint="default"/>
      </w:rPr>
    </w:lvl>
    <w:lvl w:ilvl="4" w:tplc="EF4490FA" w:tentative="1">
      <w:start w:val="1"/>
      <w:numFmt w:val="bullet"/>
      <w:lvlText w:val=""/>
      <w:lvlJc w:val="left"/>
      <w:pPr>
        <w:tabs>
          <w:tab w:val="num" w:pos="3600"/>
        </w:tabs>
        <w:ind w:left="3600" w:hanging="360"/>
      </w:pPr>
      <w:rPr>
        <w:rFonts w:ascii="Wingdings 3" w:hAnsi="Wingdings 3" w:hint="default"/>
      </w:rPr>
    </w:lvl>
    <w:lvl w:ilvl="5" w:tplc="65247196" w:tentative="1">
      <w:start w:val="1"/>
      <w:numFmt w:val="bullet"/>
      <w:lvlText w:val=""/>
      <w:lvlJc w:val="left"/>
      <w:pPr>
        <w:tabs>
          <w:tab w:val="num" w:pos="4320"/>
        </w:tabs>
        <w:ind w:left="4320" w:hanging="360"/>
      </w:pPr>
      <w:rPr>
        <w:rFonts w:ascii="Wingdings 3" w:hAnsi="Wingdings 3" w:hint="default"/>
      </w:rPr>
    </w:lvl>
    <w:lvl w:ilvl="6" w:tplc="09D6AFE8" w:tentative="1">
      <w:start w:val="1"/>
      <w:numFmt w:val="bullet"/>
      <w:lvlText w:val=""/>
      <w:lvlJc w:val="left"/>
      <w:pPr>
        <w:tabs>
          <w:tab w:val="num" w:pos="5040"/>
        </w:tabs>
        <w:ind w:left="5040" w:hanging="360"/>
      </w:pPr>
      <w:rPr>
        <w:rFonts w:ascii="Wingdings 3" w:hAnsi="Wingdings 3" w:hint="default"/>
      </w:rPr>
    </w:lvl>
    <w:lvl w:ilvl="7" w:tplc="07083F84" w:tentative="1">
      <w:start w:val="1"/>
      <w:numFmt w:val="bullet"/>
      <w:lvlText w:val=""/>
      <w:lvlJc w:val="left"/>
      <w:pPr>
        <w:tabs>
          <w:tab w:val="num" w:pos="5760"/>
        </w:tabs>
        <w:ind w:left="5760" w:hanging="360"/>
      </w:pPr>
      <w:rPr>
        <w:rFonts w:ascii="Wingdings 3" w:hAnsi="Wingdings 3" w:hint="default"/>
      </w:rPr>
    </w:lvl>
    <w:lvl w:ilvl="8" w:tplc="29421B6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99A48DB"/>
    <w:multiLevelType w:val="hybridMultilevel"/>
    <w:tmpl w:val="6CF68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8927F8"/>
    <w:multiLevelType w:val="hybridMultilevel"/>
    <w:tmpl w:val="449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02ED7"/>
    <w:multiLevelType w:val="hybridMultilevel"/>
    <w:tmpl w:val="784C5826"/>
    <w:lvl w:ilvl="0" w:tplc="398C119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767652">
    <w:abstractNumId w:val="1"/>
  </w:num>
  <w:num w:numId="2" w16cid:durableId="188182053">
    <w:abstractNumId w:val="0"/>
  </w:num>
  <w:num w:numId="3" w16cid:durableId="1585912447">
    <w:abstractNumId w:val="9"/>
  </w:num>
  <w:num w:numId="4" w16cid:durableId="1089623287">
    <w:abstractNumId w:val="3"/>
  </w:num>
  <w:num w:numId="5" w16cid:durableId="47804062">
    <w:abstractNumId w:val="12"/>
  </w:num>
  <w:num w:numId="6" w16cid:durableId="1037705399">
    <w:abstractNumId w:val="8"/>
  </w:num>
  <w:num w:numId="7" w16cid:durableId="1243874825">
    <w:abstractNumId w:val="10"/>
  </w:num>
  <w:num w:numId="8" w16cid:durableId="234121629">
    <w:abstractNumId w:val="11"/>
  </w:num>
  <w:num w:numId="9" w16cid:durableId="1601790235">
    <w:abstractNumId w:val="6"/>
  </w:num>
  <w:num w:numId="10" w16cid:durableId="1120537897">
    <w:abstractNumId w:val="13"/>
  </w:num>
  <w:num w:numId="11" w16cid:durableId="2042244251">
    <w:abstractNumId w:val="5"/>
  </w:num>
  <w:num w:numId="12" w16cid:durableId="862131206">
    <w:abstractNumId w:val="7"/>
  </w:num>
  <w:num w:numId="13" w16cid:durableId="2016757871">
    <w:abstractNumId w:val="2"/>
  </w:num>
  <w:num w:numId="14" w16cid:durableId="174964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573"/>
    <w:rsid w:val="00066ED1"/>
    <w:rsid w:val="00077945"/>
    <w:rsid w:val="00096573"/>
    <w:rsid w:val="000A0CD9"/>
    <w:rsid w:val="001A15D4"/>
    <w:rsid w:val="001A1768"/>
    <w:rsid w:val="001C27E0"/>
    <w:rsid w:val="001F2FF7"/>
    <w:rsid w:val="00313A43"/>
    <w:rsid w:val="00334981"/>
    <w:rsid w:val="0036154D"/>
    <w:rsid w:val="003D1B86"/>
    <w:rsid w:val="00474236"/>
    <w:rsid w:val="004B4A01"/>
    <w:rsid w:val="004C2AD2"/>
    <w:rsid w:val="00503BA6"/>
    <w:rsid w:val="00551800"/>
    <w:rsid w:val="0058533C"/>
    <w:rsid w:val="005B3A09"/>
    <w:rsid w:val="005D5FA9"/>
    <w:rsid w:val="00664945"/>
    <w:rsid w:val="00691D02"/>
    <w:rsid w:val="00695B8C"/>
    <w:rsid w:val="00714496"/>
    <w:rsid w:val="008D7007"/>
    <w:rsid w:val="00950F89"/>
    <w:rsid w:val="00955A4C"/>
    <w:rsid w:val="009A0A61"/>
    <w:rsid w:val="009A49B3"/>
    <w:rsid w:val="009C27C7"/>
    <w:rsid w:val="009D4AE5"/>
    <w:rsid w:val="00A06500"/>
    <w:rsid w:val="00A177D5"/>
    <w:rsid w:val="00A6112D"/>
    <w:rsid w:val="00AB0483"/>
    <w:rsid w:val="00AC6838"/>
    <w:rsid w:val="00B043A7"/>
    <w:rsid w:val="00B7326F"/>
    <w:rsid w:val="00C438A2"/>
    <w:rsid w:val="00C474F8"/>
    <w:rsid w:val="00D40379"/>
    <w:rsid w:val="00D41E8D"/>
    <w:rsid w:val="00F00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680"/>
  <w15:chartTrackingRefBased/>
  <w15:docId w15:val="{8FE482BD-B27F-418E-BDA5-E75309E9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6F"/>
  </w:style>
  <w:style w:type="paragraph" w:styleId="Heading1">
    <w:name w:val="heading 1"/>
    <w:basedOn w:val="Normal"/>
    <w:next w:val="Normal"/>
    <w:link w:val="Heading1Char"/>
    <w:uiPriority w:val="9"/>
    <w:qFormat/>
    <w:rsid w:val="00664945"/>
    <w:pPr>
      <w:keepNext/>
      <w:keepLines/>
      <w:spacing w:before="48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B3A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32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4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7326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7326F"/>
    <w:pPr>
      <w:ind w:left="720"/>
      <w:contextualSpacing/>
    </w:pPr>
  </w:style>
  <w:style w:type="table" w:styleId="TableGrid">
    <w:name w:val="Table Grid"/>
    <w:basedOn w:val="TableNormal"/>
    <w:uiPriority w:val="59"/>
    <w:rsid w:val="00096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A49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9B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41E8D"/>
    <w:rPr>
      <w:color w:val="0563C1" w:themeColor="hyperlink"/>
      <w:u w:val="single"/>
    </w:rPr>
  </w:style>
  <w:style w:type="character" w:styleId="FollowedHyperlink">
    <w:name w:val="FollowedHyperlink"/>
    <w:basedOn w:val="DefaultParagraphFont"/>
    <w:uiPriority w:val="99"/>
    <w:semiHidden/>
    <w:unhideWhenUsed/>
    <w:rsid w:val="00D41E8D"/>
    <w:rPr>
      <w:color w:val="954F72" w:themeColor="followedHyperlink"/>
      <w:u w:val="single"/>
    </w:rPr>
  </w:style>
  <w:style w:type="table" w:styleId="GridTable4-Accent1">
    <w:name w:val="Grid Table 4 Accent 1"/>
    <w:basedOn w:val="TableNormal"/>
    <w:uiPriority w:val="49"/>
    <w:rsid w:val="001A176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6">
    <w:name w:val="Grid Table 4 Accent 6"/>
    <w:basedOn w:val="TableNormal"/>
    <w:uiPriority w:val="49"/>
    <w:rsid w:val="001A176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1A1768"/>
    <w:rPr>
      <w:sz w:val="16"/>
      <w:szCs w:val="16"/>
    </w:rPr>
  </w:style>
  <w:style w:type="paragraph" w:styleId="CommentText">
    <w:name w:val="annotation text"/>
    <w:basedOn w:val="Normal"/>
    <w:link w:val="CommentTextChar"/>
    <w:uiPriority w:val="99"/>
    <w:semiHidden/>
    <w:unhideWhenUsed/>
    <w:rsid w:val="001A1768"/>
    <w:pPr>
      <w:spacing w:line="240" w:lineRule="auto"/>
    </w:pPr>
    <w:rPr>
      <w:sz w:val="20"/>
      <w:szCs w:val="20"/>
    </w:rPr>
  </w:style>
  <w:style w:type="character" w:customStyle="1" w:styleId="CommentTextChar">
    <w:name w:val="Comment Text Char"/>
    <w:basedOn w:val="DefaultParagraphFont"/>
    <w:link w:val="CommentText"/>
    <w:uiPriority w:val="99"/>
    <w:semiHidden/>
    <w:rsid w:val="001A1768"/>
    <w:rPr>
      <w:sz w:val="20"/>
      <w:szCs w:val="20"/>
    </w:rPr>
  </w:style>
  <w:style w:type="paragraph" w:styleId="CommentSubject">
    <w:name w:val="annotation subject"/>
    <w:basedOn w:val="CommentText"/>
    <w:next w:val="CommentText"/>
    <w:link w:val="CommentSubjectChar"/>
    <w:uiPriority w:val="99"/>
    <w:semiHidden/>
    <w:unhideWhenUsed/>
    <w:rsid w:val="001A1768"/>
    <w:rPr>
      <w:b/>
      <w:bCs/>
    </w:rPr>
  </w:style>
  <w:style w:type="character" w:customStyle="1" w:styleId="CommentSubjectChar">
    <w:name w:val="Comment Subject Char"/>
    <w:basedOn w:val="CommentTextChar"/>
    <w:link w:val="CommentSubject"/>
    <w:uiPriority w:val="99"/>
    <w:semiHidden/>
    <w:rsid w:val="001A1768"/>
    <w:rPr>
      <w:b/>
      <w:bCs/>
      <w:sz w:val="20"/>
      <w:szCs w:val="20"/>
    </w:rPr>
  </w:style>
  <w:style w:type="table" w:customStyle="1" w:styleId="TableGrid3">
    <w:name w:val="Table Grid3"/>
    <w:basedOn w:val="TableNormal"/>
    <w:next w:val="TableGrid"/>
    <w:uiPriority w:val="59"/>
    <w:rsid w:val="00313A43"/>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B0483"/>
    <w:rPr>
      <w:color w:val="605E5C"/>
      <w:shd w:val="clear" w:color="auto" w:fill="E1DFDD"/>
    </w:rPr>
  </w:style>
  <w:style w:type="paragraph" w:styleId="Header">
    <w:name w:val="header"/>
    <w:basedOn w:val="Normal"/>
    <w:link w:val="HeaderChar"/>
    <w:uiPriority w:val="99"/>
    <w:unhideWhenUsed/>
    <w:rsid w:val="001C2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7E0"/>
  </w:style>
  <w:style w:type="paragraph" w:styleId="Footer">
    <w:name w:val="footer"/>
    <w:basedOn w:val="Normal"/>
    <w:link w:val="FooterChar"/>
    <w:uiPriority w:val="99"/>
    <w:unhideWhenUsed/>
    <w:rsid w:val="001C2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7E0"/>
  </w:style>
  <w:style w:type="table" w:customStyle="1" w:styleId="TableGrid1">
    <w:name w:val="Table Grid1"/>
    <w:basedOn w:val="TableNormal"/>
    <w:next w:val="TableGrid"/>
    <w:rsid w:val="001C27E0"/>
    <w:pPr>
      <w:spacing w:after="0" w:line="240" w:lineRule="auto"/>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27E0"/>
    <w:pPr>
      <w:spacing w:after="0" w:line="240" w:lineRule="auto"/>
      <w:jc w:val="left"/>
    </w:pPr>
  </w:style>
  <w:style w:type="paragraph" w:styleId="TOCHeading">
    <w:name w:val="TOC Heading"/>
    <w:basedOn w:val="Heading1"/>
    <w:next w:val="Normal"/>
    <w:uiPriority w:val="39"/>
    <w:unhideWhenUsed/>
    <w:qFormat/>
    <w:rsid w:val="001C27E0"/>
    <w:pPr>
      <w:spacing w:line="259" w:lineRule="auto"/>
      <w:jc w:val="left"/>
      <w:outlineLvl w:val="9"/>
    </w:pPr>
    <w:rPr>
      <w:lang w:eastAsia="en-GB"/>
    </w:rPr>
  </w:style>
  <w:style w:type="paragraph" w:styleId="TOC1">
    <w:name w:val="toc 1"/>
    <w:basedOn w:val="Normal"/>
    <w:next w:val="Normal"/>
    <w:autoRedefine/>
    <w:uiPriority w:val="39"/>
    <w:unhideWhenUsed/>
    <w:rsid w:val="001C27E0"/>
    <w:pPr>
      <w:spacing w:after="100"/>
    </w:pPr>
  </w:style>
  <w:style w:type="character" w:customStyle="1" w:styleId="Heading2Char">
    <w:name w:val="Heading 2 Char"/>
    <w:basedOn w:val="DefaultParagraphFont"/>
    <w:link w:val="Heading2"/>
    <w:uiPriority w:val="9"/>
    <w:semiHidden/>
    <w:rsid w:val="005B3A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yperlink" Target="https://education.gov.scot/resources/circle-resource-to-support-inclusive-learning-and-collaborative-working-secondary/" TargetMode="External"/><Relationship Id="rId26" Type="http://schemas.openxmlformats.org/officeDocument/2006/relationships/hyperlink" Target="https://adultsdp.researchinpractice.org.uk/media/yaroympj/tool12.pdf" TargetMode="External"/><Relationship Id="rId39" Type="http://schemas.openxmlformats.org/officeDocument/2006/relationships/package" Target="embeddings/Microsoft_Word_Document1.docx"/><Relationship Id="rId21" Type="http://schemas.openxmlformats.org/officeDocument/2006/relationships/hyperlink" Target="https://view.officeapps.live.com/op/view.aspx?src=https%3A%2F%2Fmorayprotects.co.uk%2Fapp%2Fuploads%2F2025%2F08%2F10.-Blank-Criminal_Exploitation_Screening_Tool_Updated_With_Health_Indicator-4.4.25.docx&amp;wdOrigin=BROWSELINK" TargetMode="External"/><Relationship Id="rId34" Type="http://schemas.openxmlformats.org/officeDocument/2006/relationships/hyperlink" Target="https://learning.nspcc.org.uk/services-children-families/implementation-support-for-nspcc-services/graded-care-profile-2-gcp2" TargetMode="External"/><Relationship Id="rId42" Type="http://schemas.openxmlformats.org/officeDocument/2006/relationships/hyperlink" Target="https://girfecinmoray.co.uk/wp-content/uploads/2024/10/Keeping-the-Infant-in-Mind-Bradford-doc.pdf" TargetMode="External"/><Relationship Id="rId47" Type="http://schemas.openxmlformats.org/officeDocument/2006/relationships/hyperlink" Target="https://girfecinmoray.co.uk/" TargetMode="External"/><Relationship Id="rId50" Type="http://schemas.openxmlformats.org/officeDocument/2006/relationships/hyperlink" Target="https://www.gov.scot/binaries/content/documents/govscot/publications/factsheet/2023/05/shanarri/documents/resilience-matrix/resilience-matrix/govscot%3Adocument/GIRFEC%2B-%2BResilience%2BMatrix%2B-%2B2023.pdf" TargetMode="External"/><Relationship Id="rId55" Type="http://schemas.openxmlformats.org/officeDocument/2006/relationships/hyperlink" Target="https://girfecinmoray.co.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gov.scot/publications/national-risk-framework-support-assessment-children-young-people/pages/12/" TargetMode="External"/><Relationship Id="rId11" Type="http://schemas.openxmlformats.org/officeDocument/2006/relationships/image" Target="media/image4.jpeg"/><Relationship Id="rId24" Type="http://schemas.openxmlformats.org/officeDocument/2006/relationships/hyperlink" Target="https://safelives.org.uk/resources-for-professionals/dash-resources/" TargetMode="External"/><Relationship Id="rId32" Type="http://schemas.openxmlformats.org/officeDocument/2006/relationships/oleObject" Target="embeddings/oleObject1.bin"/><Relationship Id="rId37" Type="http://schemas.openxmlformats.org/officeDocument/2006/relationships/hyperlink" Target="https://irresistible-learning.co.uk/wp-content/uploads/2024/11/The-Leuven-Well-being-and-Involvement-scales.pdf" TargetMode="External"/><Relationship Id="rId40" Type="http://schemas.openxmlformats.org/officeDocument/2006/relationships/hyperlink" Target="https://girfecinmoray.co.uk/wp-content/uploads/2024/10/childs-views-worksheet.pdf" TargetMode="External"/><Relationship Id="rId45" Type="http://schemas.openxmlformats.org/officeDocument/2006/relationships/hyperlink" Target="https://girfecinmoray.co.uk/wp-content/uploads/2024/10/My-Feelings-Workbook.pdf" TargetMode="External"/><Relationship Id="rId53" Type="http://schemas.openxmlformats.org/officeDocument/2006/relationships/hyperlink" Target="https://www.socialworkerstoolbox.com/scoda-risk-assessment-of-parental-drug-use-and-its-impact-on-childrentool/"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thirdspace.scot/circle/education-resourc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cycj.org.uk/resource/criminal-exploitation-of-children-cec-framework-for-practice/" TargetMode="External"/><Relationship Id="rId27" Type="http://schemas.openxmlformats.org/officeDocument/2006/relationships/hyperlink" Target="https://www.researchinpractice.org.uk/all/content-pages/videos/wonnacott-s-discrepancy-matrix/" TargetMode="External"/><Relationship Id="rId30" Type="http://schemas.openxmlformats.org/officeDocument/2006/relationships/hyperlink" Target="https://view.officeapps.live.com/op/view.aspx?src=https%3A%2F%2Fwww.gov.scot%2Fbinaries%2Fcontent%2Fdocuments%2Fgovscot%2Fpublications%2Fadvice-and-guidance%2F2012%2F11%2Fnational-risk-framework-support-assessment-children-young-people%2Fdocuments%2Ftemplate-genograms%2Ftemplate-genograms%2Fgovscot%253Adocument&amp;wdOrigin=BROWSELINK" TargetMode="External"/><Relationship Id="rId35" Type="http://schemas.openxmlformats.org/officeDocument/2006/relationships/image" Target="media/image9.emf"/><Relationship Id="rId43" Type="http://schemas.openxmlformats.org/officeDocument/2006/relationships/hyperlink" Target="https://girfecinmoray.co.uk/wp-content/uploads/2024/10/highland-council-psychological-service-tools-for-gathering-the-views-of-children-and-young-people-may-2020.pdf" TargetMode="External"/><Relationship Id="rId48" Type="http://schemas.openxmlformats.org/officeDocument/2006/relationships/hyperlink" Target="https://www.gov.scot/binaries/content/documents/govscot/publications/factsheet/2023/05/shanarri/documents/my-world-triangle/my-world-triangle/govscot%3Adocument/GIRFEC%2B-%2BMy%2BWorld%2BTriangle%2B-%2B2023.pdf" TargetMode="External"/><Relationship Id="rId56" Type="http://schemas.openxmlformats.org/officeDocument/2006/relationships/hyperlink" Target="https://morayprotects.co.uk/about/protecting-children-young-people/" TargetMode="External"/><Relationship Id="rId8" Type="http://schemas.openxmlformats.org/officeDocument/2006/relationships/image" Target="media/image1.jpg"/><Relationship Id="rId51" Type="http://schemas.openxmlformats.org/officeDocument/2006/relationships/hyperlink" Target="https://www.gov.scot/publications/getting-right-child-girfec-practice-guidance-1-using-national-practice-model/pages/10/"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agesandstages.com/products-pricing/asq3/" TargetMode="External"/><Relationship Id="rId25" Type="http://schemas.openxmlformats.org/officeDocument/2006/relationships/hyperlink" Target="https://safelives.org.uk/resources-library/dash-risk-checklist-young-people/" TargetMode="External"/><Relationship Id="rId33" Type="http://schemas.openxmlformats.org/officeDocument/2006/relationships/hyperlink" Target="https://education.gov.scot/resources/glasgow-motivation-and-wellbeing-profile-gmwp/" TargetMode="External"/><Relationship Id="rId38" Type="http://schemas.openxmlformats.org/officeDocument/2006/relationships/image" Target="media/image10.emf"/><Relationship Id="rId46" Type="http://schemas.openxmlformats.org/officeDocument/2006/relationships/hyperlink" Target="https://girfecinmoray.co.uk/wp-content/uploads/2025/03/Voice-of-the-Child-LEO-final-version-3.pdf" TargetMode="External"/><Relationship Id="rId59" Type="http://schemas.openxmlformats.org/officeDocument/2006/relationships/theme" Target="theme/theme1.xml"/><Relationship Id="rId20" Type="http://schemas.openxmlformats.org/officeDocument/2006/relationships/hyperlink" Target="https://www.thirdspace.scot/wp-content/uploads/2019/11/Up-up-and-away-September-2019.pdf" TargetMode="External"/><Relationship Id="rId41" Type="http://schemas.openxmlformats.org/officeDocument/2006/relationships/hyperlink" Target="https://girfecinmoray.co.uk/wp-content/uploads/2024/10/Consulting-our-Youngest-Children-Toolkit-1-1.pdf" TargetMode="External"/><Relationship Id="rId54" Type="http://schemas.openxmlformats.org/officeDocument/2006/relationships/hyperlink" Target="https://www.gov.scot/policies/girfec/wellbeing-indicators-shanarr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equalopportunities@moray.gov.uk" TargetMode="External"/><Relationship Id="rId23" Type="http://schemas.openxmlformats.org/officeDocument/2006/relationships/hyperlink" Target="https://safelives.org.uk/research-policy/children-and-young-people/" TargetMode="External"/><Relationship Id="rId28" Type="http://schemas.openxmlformats.org/officeDocument/2006/relationships/hyperlink" Target="mailto:ELCAdmin@moray.gov.uk" TargetMode="External"/><Relationship Id="rId36" Type="http://schemas.openxmlformats.org/officeDocument/2006/relationships/package" Target="embeddings/Microsoft_Word_Document.docx"/><Relationship Id="rId49" Type="http://schemas.openxmlformats.org/officeDocument/2006/relationships/hyperlink" Target="https://www.gov.scot/publications/getting-right-child-girfec-practice-guidance-1-using-national-practice-model/pages/9/" TargetMode="External"/><Relationship Id="rId57" Type="http://schemas.openxmlformats.org/officeDocument/2006/relationships/hyperlink" Target="https://girfecinmoray.co.uk/wp-content/uploads/2025/03/Wellbeing-Assessment-Nov-2024.docx" TargetMode="External"/><Relationship Id="rId10" Type="http://schemas.openxmlformats.org/officeDocument/2006/relationships/image" Target="media/image3.jpeg"/><Relationship Id="rId31" Type="http://schemas.openxmlformats.org/officeDocument/2006/relationships/image" Target="media/image8.emf"/><Relationship Id="rId44" Type="http://schemas.openxmlformats.org/officeDocument/2006/relationships/hyperlink" Target="https://girfecinmoray.co.uk/wp-content/uploads/2024/10/voice-infant-best-practice-guidelines-infant-pledge-1.pdf" TargetMode="External"/><Relationship Id="rId52" Type="http://schemas.openxmlformats.org/officeDocument/2006/relationships/hyperlink" Target="https://safeandtogetherinstitute.com/the-safe-togethe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0FEE-D1BE-416F-800F-86A66F003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3869</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Puhalak</dc:creator>
  <cp:keywords/>
  <dc:description/>
  <cp:lastModifiedBy>Natalie Spencer</cp:lastModifiedBy>
  <cp:revision>2</cp:revision>
  <dcterms:created xsi:type="dcterms:W3CDTF">2026-06-19T15:56:00Z</dcterms:created>
  <dcterms:modified xsi:type="dcterms:W3CDTF">2026-06-19T15:56:00Z</dcterms:modified>
</cp:coreProperties>
</file>